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1508"/>
        <w:gridCol w:w="7780"/>
      </w:tblGrid>
      <w:tr w:rsidR="005E626C" w:rsidTr="001E2831">
        <w:tc>
          <w:tcPr>
            <w:tcW w:w="1508" w:type="dxa"/>
          </w:tcPr>
          <w:p w:rsidR="005E626C" w:rsidRPr="003514F5" w:rsidRDefault="00FF5E30" w:rsidP="00F54859">
            <w:pPr>
              <w:jc w:val="center"/>
              <w:rPr>
                <w:b/>
              </w:rPr>
            </w:pPr>
            <w:r w:rsidRPr="003514F5">
              <w:rPr>
                <w:b/>
              </w:rPr>
              <w:t>Članak</w:t>
            </w:r>
          </w:p>
        </w:tc>
        <w:tc>
          <w:tcPr>
            <w:tcW w:w="7780" w:type="dxa"/>
          </w:tcPr>
          <w:p w:rsidR="005E626C" w:rsidRPr="003514F5" w:rsidRDefault="005E626C" w:rsidP="00966E49">
            <w:pPr>
              <w:jc w:val="center"/>
              <w:rPr>
                <w:b/>
              </w:rPr>
            </w:pPr>
            <w:r w:rsidRPr="003514F5">
              <w:rPr>
                <w:b/>
              </w:rPr>
              <w:t>Obrazloženje</w:t>
            </w:r>
          </w:p>
        </w:tc>
      </w:tr>
      <w:tr w:rsidR="000A5E24" w:rsidTr="001E2831">
        <w:tc>
          <w:tcPr>
            <w:tcW w:w="1508" w:type="dxa"/>
          </w:tcPr>
          <w:p w:rsidR="000A5E24" w:rsidRPr="003514F5" w:rsidRDefault="001A2A6E" w:rsidP="00F54859">
            <w:pPr>
              <w:jc w:val="center"/>
              <w:rPr>
                <w:i/>
              </w:rPr>
            </w:pPr>
            <w:r w:rsidRPr="003514F5">
              <w:rPr>
                <w:i/>
              </w:rPr>
              <w:t>Opće napomene</w:t>
            </w:r>
          </w:p>
        </w:tc>
        <w:tc>
          <w:tcPr>
            <w:tcW w:w="7780" w:type="dxa"/>
          </w:tcPr>
          <w:p w:rsidR="000A5E24" w:rsidRPr="003514F5" w:rsidRDefault="000E657C" w:rsidP="00B4111A">
            <w:pPr>
              <w:jc w:val="both"/>
            </w:pPr>
            <w:r w:rsidRPr="003514F5">
              <w:t>U tekstu Pravila Burze izraz cjenovno osjetljiva informacija zamijenjen je izrazom propisana i povlaštena informacija radi ujednačavanja s odredbama ZTK i Uredbe (EU) br. 596/2014 Europskog Parlamenta i Vijeća od 16. travnja 2014. o zlouporabi tržišta (Uredba o zlouporabi tržišta) te stavljanju izvan snage Direktive 2003/6/EZ Europskog parlamenta i Vijeća i direktiva Komisije 2003/124/EZ, 2003/125/EZ i 2004/72/EZ</w:t>
            </w:r>
            <w:r w:rsidR="001A2A6E" w:rsidRPr="003514F5">
              <w:t>.</w:t>
            </w:r>
            <w:r w:rsidR="00966E49" w:rsidRPr="003514F5">
              <w:t>; izraz računalni sustav člana zamijenjen je izrazom sustav trgovanja člana sukladno odredbama Uredbe (EU)</w:t>
            </w:r>
            <w:r w:rsidR="00CF2406" w:rsidRPr="003514F5">
              <w:t xml:space="preserve"> br.</w:t>
            </w:r>
            <w:r w:rsidR="00966E49" w:rsidRPr="003514F5">
              <w:t xml:space="preserve"> 2017/584.</w:t>
            </w:r>
            <w:r w:rsidRPr="003514F5">
              <w:t xml:space="preserve"> </w:t>
            </w:r>
          </w:p>
        </w:tc>
      </w:tr>
      <w:tr w:rsidR="005E626C" w:rsidTr="001E2831">
        <w:tc>
          <w:tcPr>
            <w:tcW w:w="1508" w:type="dxa"/>
          </w:tcPr>
          <w:p w:rsidR="005E626C" w:rsidRPr="003514F5" w:rsidRDefault="005E626C" w:rsidP="00F54859">
            <w:pPr>
              <w:jc w:val="center"/>
            </w:pPr>
            <w:r w:rsidRPr="003514F5">
              <w:t>Čl.4.st.1.</w:t>
            </w:r>
          </w:p>
        </w:tc>
        <w:tc>
          <w:tcPr>
            <w:tcW w:w="7780" w:type="dxa"/>
          </w:tcPr>
          <w:p w:rsidR="005E626C" w:rsidRPr="003514F5" w:rsidRDefault="005E626C" w:rsidP="00B4111A">
            <w:pPr>
              <w:jc w:val="both"/>
            </w:pPr>
            <w:r w:rsidRPr="003514F5">
              <w:t>Člankom 4. propisana su značenja pojedinih pojmova u Pravilima predviđenih u Direktivi 2014/65/EU Europskog Parlamenta i Vijeća od 15. svibnja 2014. o tržištu financijskih instrumenata i izmjeni Direktive 2002/92/EZ i Direktive 2011/61/EU</w:t>
            </w:r>
            <w:r w:rsidR="00A64AA6" w:rsidRPr="003514F5">
              <w:t xml:space="preserve">, te se navode </w:t>
            </w:r>
            <w:r w:rsidR="00E85670" w:rsidRPr="003514F5">
              <w:t xml:space="preserve">Uredbe </w:t>
            </w:r>
            <w:r w:rsidR="003A6403" w:rsidRPr="003514F5">
              <w:t xml:space="preserve">čije odredbe su implementirane u tekst Pravila odnosno na koje Pravila upućuju. </w:t>
            </w:r>
          </w:p>
        </w:tc>
      </w:tr>
      <w:tr w:rsidR="000A5E24" w:rsidTr="001E2831">
        <w:tc>
          <w:tcPr>
            <w:tcW w:w="1508" w:type="dxa"/>
          </w:tcPr>
          <w:p w:rsidR="000A5E24" w:rsidRPr="003514F5" w:rsidRDefault="005E626C" w:rsidP="00F54859">
            <w:pPr>
              <w:jc w:val="center"/>
            </w:pPr>
            <w:r w:rsidRPr="003514F5">
              <w:t>Čl.5.st.1.i 2.</w:t>
            </w:r>
          </w:p>
        </w:tc>
        <w:tc>
          <w:tcPr>
            <w:tcW w:w="7780" w:type="dxa"/>
          </w:tcPr>
          <w:p w:rsidR="000A5E24" w:rsidRPr="003514F5" w:rsidRDefault="005E626C" w:rsidP="00B4111A">
            <w:pPr>
              <w:jc w:val="both"/>
            </w:pPr>
            <w:r w:rsidRPr="003514F5">
              <w:t xml:space="preserve">Čl.5.st.1.i 2. </w:t>
            </w:r>
            <w:r w:rsidR="00832B48" w:rsidRPr="003514F5">
              <w:t xml:space="preserve">propisana je obveza </w:t>
            </w:r>
            <w:r w:rsidR="00480BAB" w:rsidRPr="003514F5">
              <w:t xml:space="preserve">člana da ima </w:t>
            </w:r>
            <w:r w:rsidR="00832B48" w:rsidRPr="003514F5">
              <w:t xml:space="preserve">sustav trgovanja </w:t>
            </w:r>
            <w:r w:rsidR="00480BAB" w:rsidRPr="003514F5">
              <w:t xml:space="preserve">koji je </w:t>
            </w:r>
            <w:r w:rsidR="00832B48" w:rsidRPr="003514F5">
              <w:t>tehnički i funkcionalno usklađen s trgovinskim sustavom Burze, te da isti mora imati ugrađene kontrole cijena, volumena i vrijednosti naloga te kontrole aktivnosti trgovanja članova nakon trgovanja. Navedenim se u Pravila i</w:t>
            </w:r>
            <w:r w:rsidRPr="003514F5">
              <w:t>mplementiraju odredbe čl.7(1)</w:t>
            </w:r>
            <w:r w:rsidR="00832B48" w:rsidRPr="003514F5">
              <w:t xml:space="preserve">(a) i </w:t>
            </w:r>
            <w:r w:rsidRPr="003514F5">
              <w:t>(c)</w:t>
            </w:r>
            <w:r w:rsidR="00832B48" w:rsidRPr="003514F5">
              <w:t xml:space="preserve"> Uredbe (EU) </w:t>
            </w:r>
            <w:r w:rsidR="00CF2406" w:rsidRPr="003514F5">
              <w:t xml:space="preserve">br. </w:t>
            </w:r>
            <w:r w:rsidR="00832B48" w:rsidRPr="003514F5">
              <w:t>2017/584.</w:t>
            </w:r>
            <w:r w:rsidR="002964FE" w:rsidRPr="003514F5">
              <w:t xml:space="preserve"> Ispitivanjem usklađenosti trebalo bi se osigurati da najosnovniji elementi sustava</w:t>
            </w:r>
            <w:r w:rsidR="00480BAB" w:rsidRPr="003514F5">
              <w:t xml:space="preserve"> trgovanja, kao i </w:t>
            </w:r>
            <w:r w:rsidR="002964FE" w:rsidRPr="003514F5">
              <w:t>algoritmi</w:t>
            </w:r>
            <w:r w:rsidR="00480BAB" w:rsidRPr="003514F5">
              <w:t>,</w:t>
            </w:r>
            <w:r w:rsidR="002964FE" w:rsidRPr="003514F5">
              <w:t xml:space="preserve"> koje </w:t>
            </w:r>
            <w:r w:rsidR="00480BAB" w:rsidRPr="003514F5">
              <w:t xml:space="preserve">članovi </w:t>
            </w:r>
            <w:r w:rsidR="002964FE" w:rsidRPr="003514F5">
              <w:t xml:space="preserve">koriste </w:t>
            </w:r>
            <w:r w:rsidR="00480BAB" w:rsidRPr="003514F5">
              <w:t xml:space="preserve">funkcioniraju </w:t>
            </w:r>
            <w:r w:rsidR="002964FE" w:rsidRPr="003514F5">
              <w:t>ispravno</w:t>
            </w:r>
            <w:r w:rsidR="00480BAB" w:rsidRPr="003514F5">
              <w:t xml:space="preserve"> </w:t>
            </w:r>
            <w:r w:rsidR="002964FE" w:rsidRPr="003514F5">
              <w:t>i u skladu sa zahtjevima Burze.</w:t>
            </w:r>
          </w:p>
        </w:tc>
      </w:tr>
      <w:tr w:rsidR="000A5E24" w:rsidTr="001E2831">
        <w:tc>
          <w:tcPr>
            <w:tcW w:w="1508" w:type="dxa"/>
          </w:tcPr>
          <w:p w:rsidR="000A5E24" w:rsidRPr="003514F5" w:rsidRDefault="00832B48" w:rsidP="00F54859">
            <w:pPr>
              <w:jc w:val="center"/>
            </w:pPr>
            <w:r w:rsidRPr="003514F5">
              <w:t>Čl.23.</w:t>
            </w:r>
            <w:r w:rsidR="00930DD8" w:rsidRPr="003514F5">
              <w:t xml:space="preserve"> i 24.</w:t>
            </w:r>
          </w:p>
        </w:tc>
        <w:tc>
          <w:tcPr>
            <w:tcW w:w="7780" w:type="dxa"/>
          </w:tcPr>
          <w:p w:rsidR="000A5E24" w:rsidRPr="003514F5" w:rsidRDefault="00832B48" w:rsidP="00B4111A">
            <w:pPr>
              <w:jc w:val="both"/>
            </w:pPr>
            <w:r w:rsidRPr="003514F5">
              <w:t xml:space="preserve">Čl.23. propisana je obveza člana da Burzi dostavi dokaz da je </w:t>
            </w:r>
            <w:r w:rsidR="00394B85" w:rsidRPr="003514F5">
              <w:t xml:space="preserve">njegov </w:t>
            </w:r>
            <w:r w:rsidRPr="003514F5">
              <w:t xml:space="preserve">sustav trgovanja tehnički i funkcionalno usklađen s </w:t>
            </w:r>
            <w:r w:rsidR="008A2280" w:rsidRPr="003514F5">
              <w:t xml:space="preserve">trgovinskim sustavom Burze, čime se, između ostalog, </w:t>
            </w:r>
            <w:r w:rsidR="00930DD8" w:rsidRPr="003514F5">
              <w:t xml:space="preserve">Burzi osigurava element potreban za provođenje dubinske analize potencijalnih članova, ali i </w:t>
            </w:r>
            <w:r w:rsidR="008A2280" w:rsidRPr="003514F5">
              <w:t xml:space="preserve">provođenje na rizicima temeljene procjene usklađenosti članova s uvjetima iz čl.7(1) Uredbe (EU) </w:t>
            </w:r>
            <w:r w:rsidR="00CF2406" w:rsidRPr="003514F5">
              <w:t xml:space="preserve">br. </w:t>
            </w:r>
            <w:r w:rsidR="008A2280" w:rsidRPr="003514F5">
              <w:t xml:space="preserve">2017/584. </w:t>
            </w:r>
          </w:p>
        </w:tc>
      </w:tr>
      <w:tr w:rsidR="000A5E24" w:rsidTr="001E2831">
        <w:tc>
          <w:tcPr>
            <w:tcW w:w="1508" w:type="dxa"/>
          </w:tcPr>
          <w:p w:rsidR="000A5E24" w:rsidRPr="003514F5" w:rsidRDefault="002964FE" w:rsidP="00F54859">
            <w:pPr>
              <w:jc w:val="center"/>
            </w:pPr>
            <w:r w:rsidRPr="003514F5">
              <w:t>Čl.26.</w:t>
            </w:r>
          </w:p>
        </w:tc>
        <w:tc>
          <w:tcPr>
            <w:tcW w:w="7780" w:type="dxa"/>
          </w:tcPr>
          <w:p w:rsidR="000A5E24" w:rsidRPr="003514F5" w:rsidRDefault="002964FE" w:rsidP="00B4111A">
            <w:pPr>
              <w:jc w:val="both"/>
            </w:pPr>
            <w:r w:rsidRPr="003514F5">
              <w:t>U čl.26. propisuje se obveza člana da sustava trgovanja člana mora biti tehnički i funkcionalno usklađen s trgovinskim sustavom Burze</w:t>
            </w:r>
            <w:r w:rsidR="00D878C9" w:rsidRPr="003514F5">
              <w:t>,</w:t>
            </w:r>
            <w:r w:rsidRPr="003514F5">
              <w:t xml:space="preserve"> što predstavlja usklađenje s čl.7(1)(a) i (c) Uredbe (EU) </w:t>
            </w:r>
            <w:r w:rsidR="00CF2406" w:rsidRPr="003514F5">
              <w:t xml:space="preserve">br. </w:t>
            </w:r>
            <w:r w:rsidRPr="003514F5">
              <w:t>2017/584.</w:t>
            </w:r>
          </w:p>
        </w:tc>
      </w:tr>
      <w:tr w:rsidR="000A5E24" w:rsidTr="001E2831">
        <w:tc>
          <w:tcPr>
            <w:tcW w:w="1508" w:type="dxa"/>
          </w:tcPr>
          <w:p w:rsidR="000A5E24" w:rsidRPr="003514F5" w:rsidRDefault="002964FE" w:rsidP="00F54859">
            <w:pPr>
              <w:jc w:val="center"/>
            </w:pPr>
            <w:r w:rsidRPr="003514F5">
              <w:t>Čl.32.</w:t>
            </w:r>
          </w:p>
        </w:tc>
        <w:tc>
          <w:tcPr>
            <w:tcW w:w="7780" w:type="dxa"/>
          </w:tcPr>
          <w:p w:rsidR="000A5E24" w:rsidRPr="003514F5" w:rsidRDefault="002964FE" w:rsidP="00B4111A">
            <w:pPr>
              <w:jc w:val="both"/>
            </w:pPr>
            <w:r w:rsidRPr="003514F5">
              <w:t>Učinak tehnološkog razvoja</w:t>
            </w:r>
            <w:r w:rsidR="00CE29B3" w:rsidRPr="003514F5">
              <w:t>,</w:t>
            </w:r>
            <w:r w:rsidRPr="003514F5">
              <w:t xml:space="preserve"> posebno algoritamskog trgovanja</w:t>
            </w:r>
            <w:r w:rsidR="00CE29B3" w:rsidRPr="003514F5">
              <w:t>,</w:t>
            </w:r>
            <w:r w:rsidRPr="003514F5">
              <w:t xml:space="preserve"> jedan je od glavnih </w:t>
            </w:r>
            <w:r w:rsidR="00CE29B3" w:rsidRPr="003514F5">
              <w:t xml:space="preserve">razloga </w:t>
            </w:r>
            <w:r w:rsidRPr="003514F5">
              <w:t xml:space="preserve">za utvrđivanje kapaciteta </w:t>
            </w:r>
            <w:r w:rsidR="009325C2" w:rsidRPr="003514F5">
              <w:t xml:space="preserve">trgovinskog sustava </w:t>
            </w:r>
            <w:r w:rsidRPr="003514F5">
              <w:t>i mehanizama za upravljanje</w:t>
            </w:r>
            <w:r w:rsidR="009325C2" w:rsidRPr="003514F5">
              <w:t xml:space="preserve"> kapacitetom</w:t>
            </w:r>
            <w:r w:rsidR="00CE29B3" w:rsidRPr="003514F5">
              <w:t xml:space="preserve">. Odredba predstavlja usklađenje s čl.11(1) Uredbe (EU) </w:t>
            </w:r>
            <w:r w:rsidR="00CF2406" w:rsidRPr="003514F5">
              <w:t xml:space="preserve">br. </w:t>
            </w:r>
            <w:r w:rsidR="00CE29B3" w:rsidRPr="003514F5">
              <w:t>2017/584</w:t>
            </w:r>
            <w:r w:rsidRPr="003514F5">
              <w:t>.</w:t>
            </w:r>
          </w:p>
        </w:tc>
      </w:tr>
      <w:tr w:rsidR="000A5E24" w:rsidTr="001E2831">
        <w:tc>
          <w:tcPr>
            <w:tcW w:w="1508" w:type="dxa"/>
          </w:tcPr>
          <w:p w:rsidR="000A5E24" w:rsidRPr="003514F5" w:rsidRDefault="00CE29B3" w:rsidP="00F54859">
            <w:pPr>
              <w:jc w:val="center"/>
            </w:pPr>
            <w:r w:rsidRPr="003514F5">
              <w:t>Čl.33.</w:t>
            </w:r>
            <w:r w:rsidR="00E841C8" w:rsidRPr="003514F5">
              <w:t xml:space="preserve"> i 34.</w:t>
            </w:r>
          </w:p>
        </w:tc>
        <w:tc>
          <w:tcPr>
            <w:tcW w:w="7780" w:type="dxa"/>
          </w:tcPr>
          <w:p w:rsidR="000A5E24" w:rsidRPr="003514F5" w:rsidRDefault="00CE29B3" w:rsidP="003514F5">
            <w:pPr>
              <w:jc w:val="both"/>
            </w:pPr>
            <w:r w:rsidRPr="003514F5">
              <w:t xml:space="preserve">U cilju </w:t>
            </w:r>
            <w:r w:rsidR="00E841C8" w:rsidRPr="003514F5">
              <w:t>kontrole i upravljanja rizicima koji mogu proizaći iz algoritamskog trgovanja, od članova koji koriste</w:t>
            </w:r>
            <w:r w:rsidR="00BC6A48" w:rsidRPr="003514F5">
              <w:t xml:space="preserve"> </w:t>
            </w:r>
            <w:r w:rsidR="00E841C8" w:rsidRPr="003514F5">
              <w:t>funkcionalnost</w:t>
            </w:r>
            <w:r w:rsidR="00BC6A48" w:rsidRPr="003514F5">
              <w:t xml:space="preserve">i koje omogućuju </w:t>
            </w:r>
            <w:r w:rsidR="00E841C8" w:rsidRPr="003514F5">
              <w:t xml:space="preserve">takvu vrstu trgovanja, </w:t>
            </w:r>
            <w:r w:rsidR="00BC6A48" w:rsidRPr="003514F5">
              <w:t xml:space="preserve">zahtijeva se </w:t>
            </w:r>
            <w:r w:rsidR="00E841C8" w:rsidRPr="003514F5">
              <w:t>uspostava primjerenih sustava i mjera, kao i pravovremeno obavještavanje Burze o korištenju navedenih funkcionalnosti</w:t>
            </w:r>
            <w:r w:rsidR="00BC6A48" w:rsidRPr="003514F5">
              <w:t>, a sve u cilju usp</w:t>
            </w:r>
            <w:r w:rsidR="00E841C8" w:rsidRPr="003514F5">
              <w:t xml:space="preserve">ostave </w:t>
            </w:r>
            <w:r w:rsidR="00BC6A48" w:rsidRPr="003514F5">
              <w:t>primjerenih</w:t>
            </w:r>
            <w:r w:rsidR="00E841C8" w:rsidRPr="003514F5">
              <w:t xml:space="preserve"> sustava i kontrola radi održavanja kapaciteta trgovinskog sustava i sprječavanja neurednih uvjeta trgovanja.  </w:t>
            </w:r>
          </w:p>
        </w:tc>
      </w:tr>
      <w:tr w:rsidR="000A5E24" w:rsidTr="001E2831">
        <w:tc>
          <w:tcPr>
            <w:tcW w:w="1508" w:type="dxa"/>
          </w:tcPr>
          <w:p w:rsidR="000A5E24" w:rsidRPr="003514F5" w:rsidRDefault="00E841C8" w:rsidP="00F54859">
            <w:pPr>
              <w:jc w:val="center"/>
            </w:pPr>
            <w:r w:rsidRPr="003514F5">
              <w:t>Čl.35.</w:t>
            </w:r>
          </w:p>
        </w:tc>
        <w:tc>
          <w:tcPr>
            <w:tcW w:w="7780" w:type="dxa"/>
          </w:tcPr>
          <w:p w:rsidR="000A5E24" w:rsidRPr="003514F5" w:rsidRDefault="00BE5205" w:rsidP="00B4111A">
            <w:pPr>
              <w:jc w:val="both"/>
            </w:pPr>
            <w:r w:rsidRPr="003514F5">
              <w:rPr>
                <w:color w:val="000000"/>
                <w:shd w:val="clear" w:color="auto" w:fill="FFFFFF"/>
              </w:rPr>
              <w:t xml:space="preserve">Čl.35. propisuje </w:t>
            </w:r>
            <w:r w:rsidR="007F1F48" w:rsidRPr="003514F5">
              <w:rPr>
                <w:color w:val="000000"/>
                <w:shd w:val="clear" w:color="auto" w:fill="FFFFFF"/>
              </w:rPr>
              <w:t xml:space="preserve">obvezu člana da provodi </w:t>
            </w:r>
            <w:r w:rsidRPr="003514F5">
              <w:rPr>
                <w:color w:val="000000"/>
                <w:shd w:val="clear" w:color="auto" w:fill="FFFFFF"/>
              </w:rPr>
              <w:t xml:space="preserve">ispitivanje usklađenosti </w:t>
            </w:r>
            <w:r w:rsidR="007F1F48" w:rsidRPr="003514F5">
              <w:rPr>
                <w:color w:val="000000"/>
                <w:shd w:val="clear" w:color="auto" w:fill="FFFFFF"/>
              </w:rPr>
              <w:t>svog pristupa trgovinskom sustavu, svog sustava trgovanja, algoritama i strategija trgovanja</w:t>
            </w:r>
            <w:r w:rsidR="00BC6A48" w:rsidRPr="003514F5">
              <w:rPr>
                <w:color w:val="000000"/>
                <w:shd w:val="clear" w:color="auto" w:fill="FFFFFF"/>
              </w:rPr>
              <w:t xml:space="preserve"> sa zahtjevima Burze</w:t>
            </w:r>
            <w:r w:rsidR="007F1F48" w:rsidRPr="003514F5">
              <w:rPr>
                <w:color w:val="000000"/>
                <w:shd w:val="clear" w:color="auto" w:fill="FFFFFF"/>
              </w:rPr>
              <w:t>. Ispitivanjem usklađenosti t</w:t>
            </w:r>
            <w:r w:rsidRPr="003514F5">
              <w:rPr>
                <w:color w:val="000000"/>
                <w:shd w:val="clear" w:color="auto" w:fill="FFFFFF"/>
              </w:rPr>
              <w:t xml:space="preserve">rebalo </w:t>
            </w:r>
            <w:r w:rsidR="00BC6A48" w:rsidRPr="003514F5">
              <w:rPr>
                <w:color w:val="000000"/>
                <w:shd w:val="clear" w:color="auto" w:fill="FFFFFF"/>
              </w:rPr>
              <w:t xml:space="preserve">bi se </w:t>
            </w:r>
            <w:r w:rsidRPr="003514F5">
              <w:rPr>
                <w:color w:val="000000"/>
                <w:shd w:val="clear" w:color="auto" w:fill="FFFFFF"/>
              </w:rPr>
              <w:t xml:space="preserve">osigurati da najosnovniji elementi sustava </w:t>
            </w:r>
            <w:r w:rsidR="00BC6A48" w:rsidRPr="003514F5">
              <w:rPr>
                <w:color w:val="000000"/>
                <w:shd w:val="clear" w:color="auto" w:fill="FFFFFF"/>
              </w:rPr>
              <w:t xml:space="preserve">trgovanja članova, </w:t>
            </w:r>
            <w:r w:rsidRPr="003514F5">
              <w:rPr>
                <w:color w:val="000000"/>
                <w:shd w:val="clear" w:color="auto" w:fill="FFFFFF"/>
              </w:rPr>
              <w:t xml:space="preserve">ili algoritmi koje </w:t>
            </w:r>
            <w:r w:rsidR="007F1F48" w:rsidRPr="003514F5">
              <w:rPr>
                <w:color w:val="000000"/>
                <w:shd w:val="clear" w:color="auto" w:fill="FFFFFF"/>
              </w:rPr>
              <w:t xml:space="preserve">članovi </w:t>
            </w:r>
            <w:r w:rsidRPr="003514F5">
              <w:rPr>
                <w:color w:val="000000"/>
                <w:shd w:val="clear" w:color="auto" w:fill="FFFFFF"/>
              </w:rPr>
              <w:t>koriste</w:t>
            </w:r>
            <w:r w:rsidR="00BC6A48" w:rsidRPr="003514F5">
              <w:rPr>
                <w:color w:val="000000"/>
                <w:shd w:val="clear" w:color="auto" w:fill="FFFFFF"/>
              </w:rPr>
              <w:t>,</w:t>
            </w:r>
            <w:r w:rsidRPr="003514F5">
              <w:rPr>
                <w:color w:val="000000"/>
                <w:shd w:val="clear" w:color="auto" w:fill="FFFFFF"/>
              </w:rPr>
              <w:t xml:space="preserve"> </w:t>
            </w:r>
            <w:r w:rsidR="007F1F48" w:rsidRPr="003514F5">
              <w:rPr>
                <w:color w:val="000000"/>
                <w:shd w:val="clear" w:color="auto" w:fill="FFFFFF"/>
              </w:rPr>
              <w:t>funkcioniraju i</w:t>
            </w:r>
            <w:r w:rsidRPr="003514F5">
              <w:rPr>
                <w:color w:val="000000"/>
                <w:shd w:val="clear" w:color="auto" w:fill="FFFFFF"/>
              </w:rPr>
              <w:t xml:space="preserve">spravno i u skladu sa zahtjevima </w:t>
            </w:r>
            <w:r w:rsidR="007F1F48" w:rsidRPr="003514F5">
              <w:rPr>
                <w:color w:val="000000"/>
                <w:shd w:val="clear" w:color="auto" w:fill="FFFFFF"/>
              </w:rPr>
              <w:t>Burze. Istim člankom propisuje se obveza Burz</w:t>
            </w:r>
            <w:r w:rsidR="00685CA7" w:rsidRPr="003514F5">
              <w:rPr>
                <w:color w:val="000000"/>
                <w:shd w:val="clear" w:color="auto" w:fill="FFFFFF"/>
              </w:rPr>
              <w:t>e</w:t>
            </w:r>
            <w:r w:rsidR="007F1F48" w:rsidRPr="003514F5">
              <w:rPr>
                <w:color w:val="000000"/>
                <w:shd w:val="clear" w:color="auto" w:fill="FFFFFF"/>
              </w:rPr>
              <w:t xml:space="preserve"> da članovima osigura okruženje za ispitivanje usklađenosti</w:t>
            </w:r>
            <w:r w:rsidR="00C52554" w:rsidRPr="003514F5">
              <w:rPr>
                <w:color w:val="000000"/>
                <w:shd w:val="clear" w:color="auto" w:fill="FFFFFF"/>
              </w:rPr>
              <w:t xml:space="preserve">, što predstavlja usklađenje s čl.9(1), 9(2), 9(4) i 9(6) Uredbe </w:t>
            </w:r>
            <w:r w:rsidR="00EC077D" w:rsidRPr="003514F5">
              <w:rPr>
                <w:color w:val="000000"/>
                <w:shd w:val="clear" w:color="auto" w:fill="FFFFFF"/>
              </w:rPr>
              <w:t xml:space="preserve">(EU) </w:t>
            </w:r>
            <w:r w:rsidR="00CF2406" w:rsidRPr="003514F5">
              <w:rPr>
                <w:color w:val="000000"/>
                <w:shd w:val="clear" w:color="auto" w:fill="FFFFFF"/>
              </w:rPr>
              <w:t xml:space="preserve">br. </w:t>
            </w:r>
            <w:r w:rsidR="00C52554" w:rsidRPr="003514F5">
              <w:rPr>
                <w:color w:val="000000"/>
                <w:shd w:val="clear" w:color="auto" w:fill="FFFFFF"/>
              </w:rPr>
              <w:t>2017/584</w:t>
            </w:r>
            <w:r w:rsidR="007F1F48" w:rsidRPr="003514F5">
              <w:rPr>
                <w:color w:val="000000"/>
                <w:shd w:val="clear" w:color="auto" w:fill="FFFFFF"/>
              </w:rPr>
              <w:t>.</w:t>
            </w:r>
            <w:r w:rsidR="00685CA7" w:rsidRPr="003514F5">
              <w:rPr>
                <w:color w:val="000000"/>
                <w:shd w:val="clear" w:color="auto" w:fill="FFFFFF"/>
              </w:rPr>
              <w:t xml:space="preserve"> </w:t>
            </w:r>
            <w:r w:rsidR="00C52554" w:rsidRPr="003514F5">
              <w:rPr>
                <w:color w:val="000000"/>
                <w:shd w:val="clear" w:color="auto" w:fill="FFFFFF"/>
              </w:rPr>
              <w:t>Također, s</w:t>
            </w:r>
            <w:r w:rsidR="00685CA7" w:rsidRPr="003514F5">
              <w:rPr>
                <w:color w:val="000000"/>
                <w:shd w:val="clear" w:color="auto" w:fill="FFFFFF"/>
              </w:rPr>
              <w:t xml:space="preserve">ukladno točki (13) Uvoda Uredbe </w:t>
            </w:r>
            <w:r w:rsidR="00EC077D" w:rsidRPr="003514F5">
              <w:rPr>
                <w:color w:val="000000"/>
                <w:shd w:val="clear" w:color="auto" w:fill="FFFFFF"/>
              </w:rPr>
              <w:t xml:space="preserve">(EU) </w:t>
            </w:r>
            <w:r w:rsidR="00CF2406" w:rsidRPr="003514F5">
              <w:rPr>
                <w:color w:val="000000"/>
                <w:shd w:val="clear" w:color="auto" w:fill="FFFFFF"/>
              </w:rPr>
              <w:t xml:space="preserve">br. </w:t>
            </w:r>
            <w:r w:rsidR="00685CA7" w:rsidRPr="003514F5">
              <w:rPr>
                <w:color w:val="000000"/>
                <w:shd w:val="clear" w:color="auto" w:fill="FFFFFF"/>
              </w:rPr>
              <w:t>2017/584 propisan</w:t>
            </w:r>
            <w:r w:rsidR="00BC6A48" w:rsidRPr="003514F5">
              <w:rPr>
                <w:color w:val="000000"/>
                <w:shd w:val="clear" w:color="auto" w:fill="FFFFFF"/>
              </w:rPr>
              <w:t xml:space="preserve">o je da su članovi dužni </w:t>
            </w:r>
            <w:r w:rsidR="00685CA7" w:rsidRPr="003514F5">
              <w:rPr>
                <w:color w:val="000000"/>
                <w:shd w:val="clear" w:color="auto" w:fill="FFFFFF"/>
              </w:rPr>
              <w:t>dostavit</w:t>
            </w:r>
            <w:r w:rsidR="00BC6A48" w:rsidRPr="003514F5">
              <w:rPr>
                <w:color w:val="000000"/>
                <w:shd w:val="clear" w:color="auto" w:fill="FFFFFF"/>
              </w:rPr>
              <w:t>i Burzi</w:t>
            </w:r>
            <w:r w:rsidR="00685CA7" w:rsidRPr="003514F5">
              <w:rPr>
                <w:color w:val="000000"/>
                <w:shd w:val="clear" w:color="auto" w:fill="FFFFFF"/>
              </w:rPr>
              <w:t xml:space="preserve"> </w:t>
            </w:r>
            <w:r w:rsidR="007F1F48" w:rsidRPr="003514F5">
              <w:rPr>
                <w:color w:val="000000"/>
                <w:shd w:val="clear" w:color="auto" w:fill="FFFFFF"/>
              </w:rPr>
              <w:t>izjavu kojom potvrđuj</w:t>
            </w:r>
            <w:r w:rsidR="00685CA7" w:rsidRPr="003514F5">
              <w:rPr>
                <w:color w:val="000000"/>
                <w:shd w:val="clear" w:color="auto" w:fill="FFFFFF"/>
              </w:rPr>
              <w:t>u</w:t>
            </w:r>
            <w:r w:rsidR="007F1F48" w:rsidRPr="003514F5">
              <w:rPr>
                <w:color w:val="000000"/>
                <w:shd w:val="clear" w:color="auto" w:fill="FFFFFF"/>
              </w:rPr>
              <w:t xml:space="preserve"> da je takvo ispitivanje </w:t>
            </w:r>
            <w:r w:rsidR="00BC6A48" w:rsidRPr="003514F5">
              <w:rPr>
                <w:color w:val="000000"/>
                <w:shd w:val="clear" w:color="auto" w:fill="FFFFFF"/>
              </w:rPr>
              <w:t xml:space="preserve">usklađenosti </w:t>
            </w:r>
            <w:r w:rsidR="007F1F48" w:rsidRPr="003514F5">
              <w:rPr>
                <w:color w:val="000000"/>
                <w:shd w:val="clear" w:color="auto" w:fill="FFFFFF"/>
              </w:rPr>
              <w:t xml:space="preserve">provedeno i u kojoj </w:t>
            </w:r>
            <w:r w:rsidR="00BC6A48" w:rsidRPr="003514F5">
              <w:rPr>
                <w:color w:val="000000"/>
                <w:shd w:val="clear" w:color="auto" w:fill="FFFFFF"/>
              </w:rPr>
              <w:t xml:space="preserve">navode </w:t>
            </w:r>
            <w:r w:rsidR="007F1F48" w:rsidRPr="003514F5">
              <w:rPr>
                <w:color w:val="000000"/>
                <w:shd w:val="clear" w:color="auto" w:fill="FFFFFF"/>
              </w:rPr>
              <w:t>sredstva upotrijebljena u tom ispitivanju</w:t>
            </w:r>
            <w:r w:rsidR="00685CA7" w:rsidRPr="003514F5">
              <w:rPr>
                <w:color w:val="000000"/>
                <w:shd w:val="clear" w:color="auto" w:fill="FFFFFF"/>
              </w:rPr>
              <w:t xml:space="preserve">. </w:t>
            </w:r>
          </w:p>
        </w:tc>
      </w:tr>
      <w:tr w:rsidR="000A5E24" w:rsidTr="001E2831">
        <w:tc>
          <w:tcPr>
            <w:tcW w:w="1508" w:type="dxa"/>
          </w:tcPr>
          <w:p w:rsidR="000A5E24" w:rsidRPr="003514F5" w:rsidRDefault="00C52554" w:rsidP="00F54859">
            <w:pPr>
              <w:jc w:val="center"/>
            </w:pPr>
            <w:r w:rsidRPr="003514F5">
              <w:t>Čl.36.</w:t>
            </w:r>
          </w:p>
        </w:tc>
        <w:tc>
          <w:tcPr>
            <w:tcW w:w="7780" w:type="dxa"/>
          </w:tcPr>
          <w:p w:rsidR="000A5E24" w:rsidRPr="003514F5" w:rsidRDefault="00C52554" w:rsidP="00B4111A">
            <w:pPr>
              <w:jc w:val="both"/>
            </w:pPr>
            <w:r w:rsidRPr="003514F5">
              <w:t xml:space="preserve">Čl.36. propisana je obveza ispitivanja trgovinskog sustava prije uvođenja ili nadogradnje, što predstavlja usklađenje s čl.8(1) Uredbe </w:t>
            </w:r>
            <w:r w:rsidR="00EC077D" w:rsidRPr="003514F5">
              <w:t>(EU)</w:t>
            </w:r>
            <w:r w:rsidR="00CF2406" w:rsidRPr="003514F5">
              <w:t xml:space="preserve"> br.</w:t>
            </w:r>
            <w:r w:rsidR="00EC077D" w:rsidRPr="003514F5">
              <w:t xml:space="preserve"> </w:t>
            </w:r>
            <w:r w:rsidRPr="003514F5">
              <w:t>2017/584.</w:t>
            </w:r>
          </w:p>
        </w:tc>
      </w:tr>
      <w:tr w:rsidR="001331AE" w:rsidTr="001E2831">
        <w:tc>
          <w:tcPr>
            <w:tcW w:w="1508" w:type="dxa"/>
          </w:tcPr>
          <w:p w:rsidR="001331AE" w:rsidRPr="003514F5" w:rsidRDefault="00C657C9" w:rsidP="00F54859">
            <w:pPr>
              <w:jc w:val="center"/>
            </w:pPr>
            <w:r w:rsidRPr="003514F5">
              <w:t>Čl.41.</w:t>
            </w:r>
          </w:p>
        </w:tc>
        <w:tc>
          <w:tcPr>
            <w:tcW w:w="7780" w:type="dxa"/>
          </w:tcPr>
          <w:p w:rsidR="001331AE" w:rsidRPr="003514F5" w:rsidRDefault="00543860" w:rsidP="00B4111A">
            <w:pPr>
              <w:jc w:val="both"/>
            </w:pPr>
            <w:r w:rsidRPr="003514F5">
              <w:t>U čl. 41. Provodi se t</w:t>
            </w:r>
            <w:r w:rsidR="00C657C9" w:rsidRPr="003514F5">
              <w:t>erminološko usklađenje s odredbama Priloga I. i IV. Uredbe (EU) br. 2017/565.</w:t>
            </w:r>
          </w:p>
        </w:tc>
      </w:tr>
      <w:tr w:rsidR="001331AE" w:rsidTr="001E2831">
        <w:tc>
          <w:tcPr>
            <w:tcW w:w="1508" w:type="dxa"/>
          </w:tcPr>
          <w:p w:rsidR="001331AE" w:rsidRPr="003514F5" w:rsidRDefault="00C657C9" w:rsidP="00F54859">
            <w:pPr>
              <w:jc w:val="center"/>
            </w:pPr>
            <w:r w:rsidRPr="003514F5">
              <w:lastRenderedPageBreak/>
              <w:t>Čl.49.st.1.t.9.</w:t>
            </w:r>
          </w:p>
        </w:tc>
        <w:tc>
          <w:tcPr>
            <w:tcW w:w="7780" w:type="dxa"/>
          </w:tcPr>
          <w:p w:rsidR="001331AE" w:rsidRPr="003514F5" w:rsidRDefault="00015031" w:rsidP="00B4111A">
            <w:pPr>
              <w:jc w:val="both"/>
            </w:pPr>
            <w:r w:rsidRPr="003514F5">
              <w:t>Sukladno čl. 18(2)(b) i 18(2)(e) Uredbe (EU) br. 2017/584 predviđena je mogućnost suspenzije člana ili prestanka njegovog članstva u slučaju kršenja kapaciteta trgovinskog sustava od strane člana.</w:t>
            </w:r>
          </w:p>
        </w:tc>
      </w:tr>
      <w:tr w:rsidR="001331AE" w:rsidTr="001E2831">
        <w:tc>
          <w:tcPr>
            <w:tcW w:w="1508" w:type="dxa"/>
          </w:tcPr>
          <w:p w:rsidR="001331AE" w:rsidRPr="003514F5" w:rsidRDefault="00E92419" w:rsidP="00F54859">
            <w:pPr>
              <w:jc w:val="center"/>
            </w:pPr>
            <w:r w:rsidRPr="003514F5">
              <w:t>Čl.52.</w:t>
            </w:r>
            <w:r w:rsidR="0076062F" w:rsidRPr="003514F5">
              <w:t>st.2.</w:t>
            </w:r>
          </w:p>
        </w:tc>
        <w:tc>
          <w:tcPr>
            <w:tcW w:w="7780" w:type="dxa"/>
          </w:tcPr>
          <w:p w:rsidR="001331AE" w:rsidRPr="003514F5" w:rsidRDefault="00E92419" w:rsidP="00B4111A">
            <w:pPr>
              <w:jc w:val="both"/>
            </w:pPr>
            <w:r w:rsidRPr="003514F5">
              <w:t>Čl.52. predstavlja implementaciju čl. 1. Uredbe (EU) br. 2017/578 odnosno propisuje uvjete koje član mora ispunjavati u slučaju ako u provođenju strategija održavanja tržišta koristi algoritamsko trgovanje.</w:t>
            </w:r>
          </w:p>
        </w:tc>
      </w:tr>
      <w:tr w:rsidR="001331AE" w:rsidTr="001E2831">
        <w:tc>
          <w:tcPr>
            <w:tcW w:w="1508" w:type="dxa"/>
          </w:tcPr>
          <w:p w:rsidR="001331AE" w:rsidRPr="003514F5" w:rsidRDefault="0091596C" w:rsidP="00F54859">
            <w:pPr>
              <w:jc w:val="center"/>
            </w:pPr>
            <w:r w:rsidRPr="003514F5">
              <w:t>Čl.65.</w:t>
            </w:r>
            <w:r w:rsidR="0076062F" w:rsidRPr="003514F5">
              <w:t>st.1.</w:t>
            </w:r>
          </w:p>
        </w:tc>
        <w:tc>
          <w:tcPr>
            <w:tcW w:w="7780" w:type="dxa"/>
          </w:tcPr>
          <w:p w:rsidR="001331AE" w:rsidRPr="003514F5" w:rsidRDefault="0091596C" w:rsidP="00B4111A">
            <w:pPr>
              <w:jc w:val="both"/>
            </w:pPr>
            <w:r w:rsidRPr="003514F5">
              <w:t>U stavku 1. navedenog članak dodatno su navedeni slučajevi koje Uredba (EU) br. 2017/578 navodi kao iznimne okolnosti u kojima ne postoji obveza člana na održavanje likvidnosti na tržištu.</w:t>
            </w:r>
          </w:p>
        </w:tc>
      </w:tr>
      <w:tr w:rsidR="001331AE" w:rsidTr="001E2831">
        <w:tc>
          <w:tcPr>
            <w:tcW w:w="1508" w:type="dxa"/>
          </w:tcPr>
          <w:p w:rsidR="001331AE" w:rsidRPr="003514F5" w:rsidRDefault="000C3984" w:rsidP="00F54859">
            <w:pPr>
              <w:jc w:val="center"/>
            </w:pPr>
            <w:r w:rsidRPr="003514F5">
              <w:t>Čl.79.t.4.</w:t>
            </w:r>
          </w:p>
        </w:tc>
        <w:tc>
          <w:tcPr>
            <w:tcW w:w="7780" w:type="dxa"/>
          </w:tcPr>
          <w:p w:rsidR="001331AE" w:rsidRPr="003514F5" w:rsidRDefault="00D711E8" w:rsidP="00B4111A">
            <w:pPr>
              <w:jc w:val="both"/>
            </w:pPr>
            <w:r w:rsidRPr="003514F5">
              <w:t xml:space="preserve">Odredba </w:t>
            </w:r>
            <w:r w:rsidR="000C3984" w:rsidRPr="003514F5">
              <w:t>propisuje dostavu izjave izdavatelja da je obaviješten o obvezama  koje proizlaze iz uvrštenja njegovog financijskog instrumenta na uređeno tržište, što predstavlja usklađenje s čl. 7(4) Uredbe (EU) br. 2017/567.</w:t>
            </w:r>
            <w:r w:rsidR="005B541A" w:rsidRPr="003514F5">
              <w:t xml:space="preserve"> Izdavatelj je dužan takvu izjavu dostaviti Burzi kod prvog uvrštenja financijskog u+instrumenta za trgovanje na uređenom tržištu.</w:t>
            </w:r>
          </w:p>
        </w:tc>
      </w:tr>
      <w:tr w:rsidR="00D711E8" w:rsidTr="001E2831">
        <w:tc>
          <w:tcPr>
            <w:tcW w:w="1508" w:type="dxa"/>
          </w:tcPr>
          <w:p w:rsidR="00D711E8" w:rsidRPr="003514F5" w:rsidRDefault="00D711E8" w:rsidP="00F54859">
            <w:pPr>
              <w:jc w:val="center"/>
            </w:pPr>
            <w:r w:rsidRPr="003514F5">
              <w:t>Čl.80.t.1.</w:t>
            </w:r>
          </w:p>
        </w:tc>
        <w:tc>
          <w:tcPr>
            <w:tcW w:w="7780" w:type="dxa"/>
          </w:tcPr>
          <w:p w:rsidR="00D711E8" w:rsidRPr="003514F5" w:rsidRDefault="00D711E8" w:rsidP="00B4111A">
            <w:pPr>
              <w:jc w:val="both"/>
            </w:pPr>
            <w:r w:rsidRPr="003514F5">
              <w:t>Točkom 1. propisuje se dostava zapisnika sa glavne skupštine na kojoj je donesena odluka o uvrštenju dionica društva na uređeno tržište, kod prvog uvrštenja dionica za trgovanje na uređenom tržištu.</w:t>
            </w:r>
          </w:p>
        </w:tc>
      </w:tr>
      <w:tr w:rsidR="001331AE" w:rsidTr="001E2831">
        <w:tc>
          <w:tcPr>
            <w:tcW w:w="1508" w:type="dxa"/>
          </w:tcPr>
          <w:p w:rsidR="001331AE" w:rsidRPr="003514F5" w:rsidRDefault="000C3984" w:rsidP="00F54859">
            <w:pPr>
              <w:jc w:val="center"/>
            </w:pPr>
            <w:r w:rsidRPr="003514F5">
              <w:t>Čl.90.st.1.</w:t>
            </w:r>
          </w:p>
        </w:tc>
        <w:tc>
          <w:tcPr>
            <w:tcW w:w="7780" w:type="dxa"/>
          </w:tcPr>
          <w:p w:rsidR="001331AE" w:rsidRPr="003514F5" w:rsidRDefault="00D67C29" w:rsidP="00D67C29">
            <w:pPr>
              <w:jc w:val="both"/>
            </w:pPr>
            <w:r w:rsidRPr="003514F5">
              <w:t xml:space="preserve">Odredbom se propisuje da </w:t>
            </w:r>
            <w:r w:rsidR="000C3984" w:rsidRPr="003514F5">
              <w:t>prilikom uvrštenja financijskih instrumenata na uređeno tržište moraju biti ispunjeni i uvjeti propisani Uredbom (EU) br. 2017/</w:t>
            </w:r>
            <w:r w:rsidR="00EC077D" w:rsidRPr="003514F5">
              <w:t>568.</w:t>
            </w:r>
          </w:p>
        </w:tc>
      </w:tr>
      <w:tr w:rsidR="001331AE" w:rsidTr="001E2831">
        <w:tc>
          <w:tcPr>
            <w:tcW w:w="1508" w:type="dxa"/>
          </w:tcPr>
          <w:p w:rsidR="001331AE" w:rsidRPr="003514F5" w:rsidRDefault="000C3984" w:rsidP="00F54859">
            <w:pPr>
              <w:jc w:val="center"/>
            </w:pPr>
            <w:r w:rsidRPr="003514F5">
              <w:t>Čl.97.</w:t>
            </w:r>
          </w:p>
        </w:tc>
        <w:tc>
          <w:tcPr>
            <w:tcW w:w="7780" w:type="dxa"/>
          </w:tcPr>
          <w:p w:rsidR="001331AE" w:rsidRPr="003514F5" w:rsidRDefault="007D0E82" w:rsidP="00205FE6">
            <w:pPr>
              <w:jc w:val="both"/>
            </w:pPr>
            <w:r w:rsidRPr="003514F5">
              <w:t xml:space="preserve">Čl.97. predlaže se </w:t>
            </w:r>
            <w:r w:rsidR="00D0316A" w:rsidRPr="003514F5">
              <w:t>minimaln</w:t>
            </w:r>
            <w:r w:rsidR="007F263E" w:rsidRPr="003514F5">
              <w:t>a</w:t>
            </w:r>
            <w:r w:rsidR="00D0316A" w:rsidRPr="003514F5">
              <w:t xml:space="preserve"> tržišn</w:t>
            </w:r>
            <w:r w:rsidR="007F263E" w:rsidRPr="003514F5">
              <w:t>a</w:t>
            </w:r>
            <w:r w:rsidR="00D0316A" w:rsidRPr="003514F5">
              <w:t xml:space="preserve"> kapitalizacij</w:t>
            </w:r>
            <w:r w:rsidR="007F263E" w:rsidRPr="003514F5">
              <w:t>a</w:t>
            </w:r>
            <w:r w:rsidR="00D0316A" w:rsidRPr="003514F5">
              <w:t xml:space="preserve"> za uvrštenje u </w:t>
            </w:r>
            <w:r w:rsidRPr="003514F5">
              <w:t xml:space="preserve">Službeno </w:t>
            </w:r>
            <w:r w:rsidR="00D0316A" w:rsidRPr="003514F5">
              <w:t>tržište</w:t>
            </w:r>
            <w:r w:rsidRPr="003514F5">
              <w:t xml:space="preserve"> </w:t>
            </w:r>
            <w:r w:rsidR="007F263E" w:rsidRPr="003514F5">
              <w:t xml:space="preserve">u visini od najmanje 20 milijuna kuna (što je više od zakonom propisane tržišne </w:t>
            </w:r>
            <w:r w:rsidR="00205FE6">
              <w:t>k</w:t>
            </w:r>
            <w:r w:rsidR="007F263E" w:rsidRPr="003514F5">
              <w:t xml:space="preserve">apitalizacije od </w:t>
            </w:r>
            <w:r w:rsidRPr="003514F5">
              <w:t xml:space="preserve">najmanje osam milijuna </w:t>
            </w:r>
            <w:r w:rsidR="00D0316A" w:rsidRPr="003514F5">
              <w:t>kuna</w:t>
            </w:r>
            <w:r w:rsidR="00205FE6">
              <w:t>)</w:t>
            </w:r>
            <w:r w:rsidRPr="003514F5">
              <w:t>, čime se nastoji po</w:t>
            </w:r>
            <w:r w:rsidR="00D0316A" w:rsidRPr="003514F5">
              <w:t>taknuti uvrštenje većih kompanija o</w:t>
            </w:r>
            <w:r w:rsidRPr="003514F5">
              <w:t xml:space="preserve"> navedeni segment uređenog tržišta. Uzimajući u obzir predloženu minimalnu distribuciju dionica javnosti</w:t>
            </w:r>
            <w:r w:rsidR="007F263E" w:rsidRPr="003514F5">
              <w:t xml:space="preserve"> od 25%</w:t>
            </w:r>
            <w:r w:rsidRPr="003514F5">
              <w:t xml:space="preserve"> i očekivanu tržišnu kapitalizaciju, očekuje se da će izdavatelji uvršteni u ovaj segment </w:t>
            </w:r>
            <w:r w:rsidR="00D0316A" w:rsidRPr="003514F5">
              <w:t>ima</w:t>
            </w:r>
            <w:r w:rsidRPr="003514F5">
              <w:t>ti</w:t>
            </w:r>
            <w:r w:rsidR="00D0316A" w:rsidRPr="003514F5">
              <w:t xml:space="preserve"> i veću likvidnost.</w:t>
            </w:r>
          </w:p>
        </w:tc>
      </w:tr>
      <w:tr w:rsidR="001331AE" w:rsidTr="001E2831">
        <w:tc>
          <w:tcPr>
            <w:tcW w:w="1508" w:type="dxa"/>
          </w:tcPr>
          <w:p w:rsidR="001331AE" w:rsidRPr="003514F5" w:rsidRDefault="000C3984" w:rsidP="00F54859">
            <w:pPr>
              <w:jc w:val="center"/>
            </w:pPr>
            <w:r w:rsidRPr="003514F5">
              <w:t>Čl.98.</w:t>
            </w:r>
          </w:p>
        </w:tc>
        <w:tc>
          <w:tcPr>
            <w:tcW w:w="7780" w:type="dxa"/>
          </w:tcPr>
          <w:p w:rsidR="001331AE" w:rsidRPr="003514F5" w:rsidRDefault="007D0E82" w:rsidP="00B4111A">
            <w:pPr>
              <w:jc w:val="both"/>
            </w:pPr>
            <w:r w:rsidRPr="003514F5">
              <w:t xml:space="preserve">Kao uvjet za uvrštenje u Službeno tržište propisano je da izdavatelj ne smije imati izrečenu mjeru zaštite tržište u razdoblju od 1 (jedne) godine prije dana podnošenja zahtjeva za uvrštenje </w:t>
            </w:r>
            <w:r w:rsidR="00A42BA2" w:rsidRPr="003514F5">
              <w:t>na</w:t>
            </w:r>
            <w:r w:rsidRPr="003514F5">
              <w:t xml:space="preserve"> Službeno tržište</w:t>
            </w:r>
            <w:r w:rsidR="007F263E" w:rsidRPr="003514F5">
              <w:t xml:space="preserve">. Predložena odredba odnosi se na izdavatelja čije su dionice već uvrštene na Redovito tržište. Službeno </w:t>
            </w:r>
            <w:r w:rsidR="00D0316A" w:rsidRPr="003514F5">
              <w:t>tržište</w:t>
            </w:r>
            <w:r w:rsidR="007F263E" w:rsidRPr="003514F5">
              <w:t xml:space="preserve">, kao tržišni segment s visokim standardima transparentnosti, </w:t>
            </w:r>
            <w:r w:rsidR="00D0316A" w:rsidRPr="003514F5">
              <w:t xml:space="preserve">namijenjeno </w:t>
            </w:r>
            <w:r w:rsidR="007F263E" w:rsidRPr="003514F5">
              <w:t xml:space="preserve">je </w:t>
            </w:r>
            <w:r w:rsidR="00D0316A" w:rsidRPr="003514F5">
              <w:t xml:space="preserve">izdavateljima koji uredno izvršavaju svoje obveze </w:t>
            </w:r>
            <w:r w:rsidRPr="003514F5">
              <w:t xml:space="preserve">transparentnosti </w:t>
            </w:r>
            <w:r w:rsidR="00D0316A" w:rsidRPr="003514F5">
              <w:t>prema investicijskoj javnost</w:t>
            </w:r>
            <w:r w:rsidRPr="003514F5">
              <w:t>i i Burzi</w:t>
            </w:r>
            <w:r w:rsidR="007F263E" w:rsidRPr="003514F5">
              <w:t>.</w:t>
            </w:r>
          </w:p>
        </w:tc>
      </w:tr>
      <w:tr w:rsidR="001331AE" w:rsidTr="001E2831">
        <w:tc>
          <w:tcPr>
            <w:tcW w:w="1508" w:type="dxa"/>
          </w:tcPr>
          <w:p w:rsidR="001331AE" w:rsidRPr="003514F5" w:rsidRDefault="000C3984" w:rsidP="00F54859">
            <w:pPr>
              <w:jc w:val="center"/>
            </w:pPr>
            <w:r w:rsidRPr="003514F5">
              <w:t>Čl.102.</w:t>
            </w:r>
          </w:p>
        </w:tc>
        <w:tc>
          <w:tcPr>
            <w:tcW w:w="7780" w:type="dxa"/>
          </w:tcPr>
          <w:p w:rsidR="001331AE" w:rsidRPr="003514F5" w:rsidRDefault="00B4111A" w:rsidP="00B4111A">
            <w:pPr>
              <w:jc w:val="both"/>
            </w:pPr>
            <w:r w:rsidRPr="003514F5">
              <w:t xml:space="preserve">Budući da je za uredno trgovanje i utvrđivanje cijene dionica uvrštenih na uređeno tržište od važnosti da se </w:t>
            </w:r>
            <w:r w:rsidR="003F353B" w:rsidRPr="003514F5">
              <w:t>dovoljan broj dionica distribuira javnosti i da ta distribucija podrazumijeva dostatnu likvidnost</w:t>
            </w:r>
            <w:r w:rsidRPr="003514F5">
              <w:t xml:space="preserve">, </w:t>
            </w:r>
            <w:r w:rsidR="003F353B" w:rsidRPr="003514F5">
              <w:t xml:space="preserve">kao uvjet za uvrštenje u Vodeće </w:t>
            </w:r>
            <w:r w:rsidRPr="003514F5">
              <w:t xml:space="preserve">tržište </w:t>
            </w:r>
            <w:r w:rsidR="003F353B" w:rsidRPr="003514F5">
              <w:t xml:space="preserve">propisan je </w:t>
            </w:r>
            <w:r w:rsidR="003F353B" w:rsidRPr="003514F5">
              <w:rPr>
                <w:i/>
              </w:rPr>
              <w:t>free float</w:t>
            </w:r>
            <w:r w:rsidR="003F353B" w:rsidRPr="003514F5">
              <w:t xml:space="preserve"> od 25%, bez mogućnosti uvrštenja u ovaj tržišni segment društva koje ima distribuciju dionica javnosti manju od 25%.</w:t>
            </w:r>
            <w:r w:rsidR="003E6ED8" w:rsidRPr="003514F5">
              <w:t xml:space="preserve"> Kao dodatni uvjet, u cilju osiguravanja </w:t>
            </w:r>
            <w:r w:rsidRPr="003514F5">
              <w:t xml:space="preserve">dostatne </w:t>
            </w:r>
            <w:r w:rsidR="003E6ED8" w:rsidRPr="003514F5">
              <w:t>distribucije dionica javnosti</w:t>
            </w:r>
            <w:r w:rsidRPr="003514F5">
              <w:t>,</w:t>
            </w:r>
            <w:r w:rsidR="003E6ED8" w:rsidRPr="003514F5">
              <w:t xml:space="preserve"> propisuje se i minimalan broj dioničara koje društvo mora imati. </w:t>
            </w:r>
          </w:p>
        </w:tc>
      </w:tr>
      <w:tr w:rsidR="001331AE" w:rsidTr="001E2831">
        <w:tc>
          <w:tcPr>
            <w:tcW w:w="1508" w:type="dxa"/>
          </w:tcPr>
          <w:p w:rsidR="001331AE" w:rsidRPr="00056152" w:rsidRDefault="000C3984" w:rsidP="00F54859">
            <w:pPr>
              <w:jc w:val="center"/>
            </w:pPr>
            <w:r w:rsidRPr="00056152">
              <w:t>Čl.104.</w:t>
            </w:r>
          </w:p>
        </w:tc>
        <w:tc>
          <w:tcPr>
            <w:tcW w:w="7780" w:type="dxa"/>
          </w:tcPr>
          <w:p w:rsidR="001331AE" w:rsidRPr="00056152" w:rsidRDefault="003514F5" w:rsidP="000276DE">
            <w:pPr>
              <w:jc w:val="both"/>
            </w:pPr>
            <w:r w:rsidRPr="00056152">
              <w:t xml:space="preserve">S obzirom da je Vodeće </w:t>
            </w:r>
            <w:r w:rsidR="007D0E82" w:rsidRPr="00056152">
              <w:t xml:space="preserve">tržište </w:t>
            </w:r>
            <w:r w:rsidR="003F353B" w:rsidRPr="00056152">
              <w:t>namijenjeno</w:t>
            </w:r>
            <w:r w:rsidR="007D0E82" w:rsidRPr="00056152">
              <w:t xml:space="preserve"> visoko likvidnim financijskim instrumentima</w:t>
            </w:r>
            <w:r w:rsidR="00525961">
              <w:t>,</w:t>
            </w:r>
            <w:r w:rsidRPr="00056152">
              <w:t xml:space="preserve"> isto se </w:t>
            </w:r>
            <w:r w:rsidR="007D0E82" w:rsidRPr="00056152">
              <w:t xml:space="preserve">nastoji i dodatno osigurati propisivanjem jednog </w:t>
            </w:r>
            <w:r w:rsidR="003F353B" w:rsidRPr="00056152">
              <w:t xml:space="preserve">obaveznog </w:t>
            </w:r>
            <w:r w:rsidR="007D0E82" w:rsidRPr="00056152">
              <w:t>održavatelja tržišta</w:t>
            </w:r>
            <w:r w:rsidR="003F353B" w:rsidRPr="00056152">
              <w:t xml:space="preserve">. </w:t>
            </w:r>
            <w:r w:rsidR="00714B35" w:rsidRPr="00056152">
              <w:t>Uzevši u obzir trenutni broj financijskih instrumenata koji imaju održavatelja tržišta, te činjenicu da ove poslove trenutno obavljaju samo dva člana, smatramo propisivanje jednog održavatelja tržišta primjerenim. Burza će porastom likvidnosti razmotriti ponov</w:t>
            </w:r>
            <w:r w:rsidRPr="00056152">
              <w:t>no</w:t>
            </w:r>
            <w:r w:rsidR="00714B35" w:rsidRPr="00056152">
              <w:t xml:space="preserve"> uvođenje obvez</w:t>
            </w:r>
            <w:r w:rsidRPr="00056152">
              <w:t>e</w:t>
            </w:r>
            <w:r w:rsidR="00714B35" w:rsidRPr="00056152">
              <w:t xml:space="preserve"> dva održavatelja tržišta. </w:t>
            </w:r>
          </w:p>
        </w:tc>
      </w:tr>
      <w:tr w:rsidR="003514F5" w:rsidRPr="003514F5" w:rsidTr="002212AC">
        <w:trPr>
          <w:trHeight w:val="2976"/>
        </w:trPr>
        <w:tc>
          <w:tcPr>
            <w:tcW w:w="1508" w:type="dxa"/>
          </w:tcPr>
          <w:p w:rsidR="001331AE" w:rsidRPr="003514F5" w:rsidRDefault="000C3984" w:rsidP="00F54859">
            <w:pPr>
              <w:jc w:val="center"/>
            </w:pPr>
            <w:r w:rsidRPr="003514F5">
              <w:lastRenderedPageBreak/>
              <w:t>Čl.105.</w:t>
            </w:r>
          </w:p>
        </w:tc>
        <w:tc>
          <w:tcPr>
            <w:tcW w:w="7780" w:type="dxa"/>
          </w:tcPr>
          <w:p w:rsidR="001331AE" w:rsidRPr="003514F5" w:rsidRDefault="00525961" w:rsidP="009019D9">
            <w:pPr>
              <w:jc w:val="both"/>
            </w:pPr>
            <w:r>
              <w:t>I</w:t>
            </w:r>
            <w:r w:rsidR="00D0316A" w:rsidRPr="003514F5">
              <w:t xml:space="preserve">zbor revizora od strane izdavatelja pokazuje da izdavatelj prepoznaje potrebu za </w:t>
            </w:r>
            <w:r w:rsidR="00714B35" w:rsidRPr="003514F5">
              <w:t xml:space="preserve">visokim </w:t>
            </w:r>
            <w:r w:rsidR="00D0316A" w:rsidRPr="003514F5">
              <w:t xml:space="preserve">standardima u izradi financijskih izvještaja </w:t>
            </w:r>
            <w:r w:rsidR="002212AC">
              <w:t xml:space="preserve">i </w:t>
            </w:r>
            <w:r w:rsidR="00884DEA">
              <w:t>time bolje</w:t>
            </w:r>
            <w:bookmarkStart w:id="0" w:name="_GoBack"/>
            <w:bookmarkEnd w:id="0"/>
            <w:r w:rsidR="00D0316A" w:rsidRPr="003514F5">
              <w:t xml:space="preserve">m izvještavanju investitora. </w:t>
            </w:r>
            <w:r w:rsidR="00714B35" w:rsidRPr="003514F5">
              <w:t xml:space="preserve">Primjeri iz nedavne prakse pokazuju da izbor revizora u velikoj mjeri utječe na vjerodostojnost financijskih izvještaja. Burza je mišljenja da cjelokupno financijsko tržište (uključujući i banke, investitore, te druge </w:t>
            </w:r>
            <w:r w:rsidR="00425FFC" w:rsidRPr="003514F5">
              <w:t>financijske</w:t>
            </w:r>
            <w:r w:rsidR="00714B35" w:rsidRPr="003514F5">
              <w:t xml:space="preserve"> institucije) treba ocjenjivati izbor revizora prilikom donošenja investicijske odluke.</w:t>
            </w:r>
          </w:p>
          <w:p w:rsidR="001F4902" w:rsidRPr="003514F5" w:rsidRDefault="005D7F69" w:rsidP="00C22B72">
            <w:pPr>
              <w:jc w:val="both"/>
            </w:pPr>
            <w:r w:rsidRPr="003514F5">
              <w:t xml:space="preserve">Stavkom 2. ovog članka propisano je da izvješće o reviziji godišnjih financijskih izvještaja ne smije sadržavati nikakve modifikacije </w:t>
            </w:r>
            <w:r w:rsidR="001F4902" w:rsidRPr="003514F5">
              <w:t xml:space="preserve">revizorova mišljenje </w:t>
            </w:r>
            <w:r w:rsidRPr="003514F5">
              <w:t>izrađene sukladno Međunarodnim revizijskim standard</w:t>
            </w:r>
            <w:r w:rsidR="003A248F" w:rsidRPr="003514F5">
              <w:t>ima</w:t>
            </w:r>
            <w:r w:rsidR="001F4902" w:rsidRPr="003514F5">
              <w:t xml:space="preserve"> ili drugim globalno primjenjivim standardima, a st.3. propisuje isti uvjet ako izdavatelj revidira polugodišnje izvještaje.</w:t>
            </w:r>
          </w:p>
        </w:tc>
      </w:tr>
      <w:tr w:rsidR="001331AE" w:rsidTr="001E2831">
        <w:tc>
          <w:tcPr>
            <w:tcW w:w="1508" w:type="dxa"/>
          </w:tcPr>
          <w:p w:rsidR="001331AE" w:rsidRPr="00C22B72" w:rsidRDefault="000C3984" w:rsidP="00F54859">
            <w:pPr>
              <w:jc w:val="center"/>
              <w:rPr>
                <w:highlight w:val="yellow"/>
              </w:rPr>
            </w:pPr>
            <w:r w:rsidRPr="00C22B72">
              <w:t>Čl.106.</w:t>
            </w:r>
          </w:p>
        </w:tc>
        <w:tc>
          <w:tcPr>
            <w:tcW w:w="7780" w:type="dxa"/>
          </w:tcPr>
          <w:p w:rsidR="001331AE" w:rsidRPr="00C22B72" w:rsidRDefault="00D0316A" w:rsidP="00525961">
            <w:pPr>
              <w:jc w:val="both"/>
              <w:rPr>
                <w:highlight w:val="yellow"/>
              </w:rPr>
            </w:pPr>
            <w:r w:rsidRPr="00C22B72">
              <w:t>Od izdavatelja koji</w:t>
            </w:r>
            <w:r w:rsidR="003E6ED8" w:rsidRPr="00C22B72">
              <w:t xml:space="preserve"> se namjeravaju uvrstiti u </w:t>
            </w:r>
            <w:r w:rsidR="00B4111A" w:rsidRPr="00C22B72">
              <w:t xml:space="preserve">Vodeće tržište </w:t>
            </w:r>
            <w:r w:rsidRPr="00C22B72">
              <w:t xml:space="preserve">očekuje se poštivanje </w:t>
            </w:r>
            <w:r w:rsidR="00B4111A" w:rsidRPr="00C22B72">
              <w:t xml:space="preserve">najviših </w:t>
            </w:r>
            <w:r w:rsidRPr="00C22B72">
              <w:t>standarda korporativnog upravljanja, a jed</w:t>
            </w:r>
            <w:r w:rsidR="00592E27" w:rsidRPr="00C22B72">
              <w:t>a</w:t>
            </w:r>
            <w:r w:rsidRPr="00C22B72">
              <w:t xml:space="preserve">n od standarda koji to određuje je i zahtjev za neovisnim članom u </w:t>
            </w:r>
            <w:r w:rsidR="00592E27" w:rsidRPr="00C22B72">
              <w:t>nadzornom odboru</w:t>
            </w:r>
            <w:r w:rsidR="00B4111A" w:rsidRPr="00C22B72">
              <w:t xml:space="preserve"> društva</w:t>
            </w:r>
            <w:r w:rsidR="00592E27" w:rsidRPr="00C22B72">
              <w:t>. Važeći Kodeks korporativnog upravljanja koji sadrži preporuku da većina članova nadzornog odbora bude nezavisna, u postupku je izm</w:t>
            </w:r>
            <w:r w:rsidR="008C03D3" w:rsidRPr="00C22B72">
              <w:t>i</w:t>
            </w:r>
            <w:r w:rsidR="00592E27" w:rsidRPr="00C22B72">
              <w:t>jene</w:t>
            </w:r>
            <w:r w:rsidR="00056152" w:rsidRPr="00C22B72">
              <w:t xml:space="preserve">. </w:t>
            </w:r>
            <w:r w:rsidR="00714B35" w:rsidRPr="00C22B72">
              <w:t xml:space="preserve">Brojni propisi traže imenovanje nezavisnih članova </w:t>
            </w:r>
            <w:r w:rsidR="00525961">
              <w:t xml:space="preserve">nadzornog odbora </w:t>
            </w:r>
            <w:r w:rsidR="00714B35" w:rsidRPr="00C22B72">
              <w:t xml:space="preserve">kao </w:t>
            </w:r>
            <w:r w:rsidR="00F836D0" w:rsidRPr="00C22B72">
              <w:t>pretpostavku objektivnog</w:t>
            </w:r>
            <w:r w:rsidR="00525961">
              <w:t>,</w:t>
            </w:r>
            <w:r w:rsidR="00F836D0" w:rsidRPr="00C22B72">
              <w:t xml:space="preserve"> ali najviše nezavisnog pogleda na materiju o kojoj se raspravlja</w:t>
            </w:r>
            <w:r w:rsidR="00525961">
              <w:t>.</w:t>
            </w:r>
            <w:r w:rsidR="00056152" w:rsidRPr="00C22B72">
              <w:t xml:space="preserve"> </w:t>
            </w:r>
          </w:p>
        </w:tc>
      </w:tr>
      <w:tr w:rsidR="001331AE" w:rsidTr="001E2831">
        <w:tc>
          <w:tcPr>
            <w:tcW w:w="1508" w:type="dxa"/>
          </w:tcPr>
          <w:p w:rsidR="001331AE" w:rsidRPr="00B4111A" w:rsidRDefault="000C3984" w:rsidP="00F54859">
            <w:pPr>
              <w:jc w:val="center"/>
            </w:pPr>
            <w:r w:rsidRPr="00B4111A">
              <w:t>Čl.107.</w:t>
            </w:r>
          </w:p>
        </w:tc>
        <w:tc>
          <w:tcPr>
            <w:tcW w:w="7780" w:type="dxa"/>
          </w:tcPr>
          <w:p w:rsidR="001331AE" w:rsidRPr="00B4111A" w:rsidRDefault="00763659" w:rsidP="00525961">
            <w:pPr>
              <w:jc w:val="both"/>
            </w:pPr>
            <w:r w:rsidRPr="00B4111A">
              <w:t xml:space="preserve">Polazeći od </w:t>
            </w:r>
            <w:r w:rsidR="00592E27" w:rsidRPr="00B4111A">
              <w:t>visok</w:t>
            </w:r>
            <w:r w:rsidRPr="00B4111A">
              <w:t>ih</w:t>
            </w:r>
            <w:r w:rsidR="00592E27" w:rsidRPr="00B4111A">
              <w:t xml:space="preserve"> standard</w:t>
            </w:r>
            <w:r w:rsidRPr="00B4111A">
              <w:t>a</w:t>
            </w:r>
            <w:r w:rsidR="00592E27" w:rsidRPr="00B4111A">
              <w:t xml:space="preserve"> transparentnosti </w:t>
            </w:r>
            <w:r w:rsidRPr="00B4111A">
              <w:t xml:space="preserve">postavljenih za navedeni tržišni segment, </w:t>
            </w:r>
            <w:r w:rsidR="00592E27" w:rsidRPr="00B4111A">
              <w:t>od velike je važnosti da izdavatelj</w:t>
            </w:r>
            <w:r w:rsidR="00B74AE5" w:rsidRPr="00B4111A">
              <w:t>i</w:t>
            </w:r>
            <w:r w:rsidR="00592E27" w:rsidRPr="00B4111A">
              <w:t xml:space="preserve"> promatraju </w:t>
            </w:r>
            <w:r w:rsidRPr="00B4111A">
              <w:t xml:space="preserve">investitore </w:t>
            </w:r>
            <w:r w:rsidR="00592E27" w:rsidRPr="00B4111A">
              <w:t xml:space="preserve">kao strateške partnere i da ulažu u odnos s njima. </w:t>
            </w:r>
            <w:r w:rsidR="00B74AE5" w:rsidRPr="00B4111A">
              <w:t xml:space="preserve">Uzimajući u obzir </w:t>
            </w:r>
            <w:r w:rsidR="00592E27" w:rsidRPr="00B4111A">
              <w:t xml:space="preserve">važnost </w:t>
            </w:r>
            <w:r w:rsidR="00B4111A" w:rsidRPr="00B4111A">
              <w:t xml:space="preserve">uspostavljanja i održavanja </w:t>
            </w:r>
            <w:r w:rsidR="00592E27" w:rsidRPr="00B4111A">
              <w:t xml:space="preserve">aktivne i profesionalne razine komunikacije </w:t>
            </w:r>
            <w:r w:rsidR="00B74AE5" w:rsidRPr="00B4111A">
              <w:t xml:space="preserve">izdavatelja </w:t>
            </w:r>
            <w:r w:rsidR="00592E27" w:rsidRPr="00B4111A">
              <w:t xml:space="preserve">s investitorima, Burzom i svim zainteresiranim subjektima, od izdavatelja se očekuje </w:t>
            </w:r>
            <w:r w:rsidR="004B0428" w:rsidRPr="00B4111A">
              <w:t xml:space="preserve">ispunjavanje ovog </w:t>
            </w:r>
            <w:r w:rsidR="00D0316A" w:rsidRPr="00B4111A">
              <w:t>standard</w:t>
            </w:r>
            <w:r w:rsidR="004B0428" w:rsidRPr="00B4111A">
              <w:t>a kroz angažiranje najmanje jedne osobe koja raspolaže potrebnim znanjima i vještinama u području poslova odnosa s investitorima.</w:t>
            </w:r>
            <w:r w:rsidR="00F836D0">
              <w:t xml:space="preserve"> </w:t>
            </w:r>
          </w:p>
        </w:tc>
      </w:tr>
      <w:tr w:rsidR="001331AE" w:rsidTr="001E2831">
        <w:tc>
          <w:tcPr>
            <w:tcW w:w="1508" w:type="dxa"/>
          </w:tcPr>
          <w:p w:rsidR="001331AE" w:rsidRPr="004A61E3" w:rsidRDefault="000C3984" w:rsidP="00F54859">
            <w:pPr>
              <w:jc w:val="center"/>
            </w:pPr>
            <w:r w:rsidRPr="004A61E3">
              <w:t>Čl.108.</w:t>
            </w:r>
          </w:p>
        </w:tc>
        <w:tc>
          <w:tcPr>
            <w:tcW w:w="7780" w:type="dxa"/>
          </w:tcPr>
          <w:p w:rsidR="001331AE" w:rsidRPr="004A61E3" w:rsidRDefault="00B74AE5" w:rsidP="00D10363">
            <w:pPr>
              <w:jc w:val="both"/>
            </w:pPr>
            <w:r w:rsidRPr="004A61E3">
              <w:t>S obzirom da je Vodeće tržište namijenjeno</w:t>
            </w:r>
            <w:r w:rsidR="00D0316A" w:rsidRPr="004A61E3">
              <w:t xml:space="preserve"> </w:t>
            </w:r>
            <w:r w:rsidR="00D10363" w:rsidRPr="004A61E3">
              <w:t xml:space="preserve">isključivo </w:t>
            </w:r>
            <w:r w:rsidR="00D0316A" w:rsidRPr="004A61E3">
              <w:t xml:space="preserve">izdavateljima koji uredno izvršavaju svoje obaveze prema </w:t>
            </w:r>
            <w:r w:rsidRPr="004A61E3">
              <w:t xml:space="preserve">investicijskoj javnosti i </w:t>
            </w:r>
            <w:r w:rsidR="00D10363" w:rsidRPr="004A61E3">
              <w:t>B</w:t>
            </w:r>
            <w:r w:rsidRPr="004A61E3">
              <w:t>urzi, kao uvjet za uvrštenje propisano je da izdavatelj čije su dionice već uvrštene na</w:t>
            </w:r>
            <w:r w:rsidR="00D10363" w:rsidRPr="004A61E3">
              <w:t xml:space="preserve"> uređeno tržište</w:t>
            </w:r>
            <w:r w:rsidRPr="004A61E3">
              <w:t xml:space="preserve"> ne smije imati izrečenu mjeru zaštite tržište u razdoblju od 1 (jedne) godine prije dana podnošenja zahtjeva za uvrštenje na Vodeće tržište. </w:t>
            </w:r>
          </w:p>
        </w:tc>
      </w:tr>
      <w:tr w:rsidR="001331AE" w:rsidTr="001E2831">
        <w:tc>
          <w:tcPr>
            <w:tcW w:w="1508" w:type="dxa"/>
          </w:tcPr>
          <w:p w:rsidR="001331AE" w:rsidRDefault="000C3984" w:rsidP="00F54859">
            <w:pPr>
              <w:jc w:val="center"/>
            </w:pPr>
            <w:r>
              <w:t>Čl.111.st.5.</w:t>
            </w:r>
          </w:p>
        </w:tc>
        <w:tc>
          <w:tcPr>
            <w:tcW w:w="7780" w:type="dxa"/>
          </w:tcPr>
          <w:p w:rsidR="001331AE" w:rsidRDefault="000C3984" w:rsidP="007477AB">
            <w:r>
              <w:t>Naveden</w:t>
            </w:r>
            <w:r w:rsidR="0066766F">
              <w:t xml:space="preserve">om odredbom </w:t>
            </w:r>
            <w:r w:rsidR="007477AB">
              <w:t>je i</w:t>
            </w:r>
            <w:r>
              <w:t>zvršeno upućivanja na čl. 80. Uredbe (EU) br.2017/565 koji propisuje okolnosti kada se smatra da bi prestanak uvrštenja mogao uzrokovati značajnu štetu interesima ulagatelja ili urednom funkcioniranju tržišta.</w:t>
            </w:r>
          </w:p>
        </w:tc>
      </w:tr>
      <w:tr w:rsidR="001331AE" w:rsidTr="001E2831">
        <w:tc>
          <w:tcPr>
            <w:tcW w:w="1508" w:type="dxa"/>
          </w:tcPr>
          <w:p w:rsidR="001331AE" w:rsidRPr="00DB0C2B" w:rsidRDefault="004A0378" w:rsidP="00F54859">
            <w:pPr>
              <w:jc w:val="center"/>
            </w:pPr>
            <w:r w:rsidRPr="00DB0C2B">
              <w:t>Čl.139.</w:t>
            </w:r>
          </w:p>
        </w:tc>
        <w:tc>
          <w:tcPr>
            <w:tcW w:w="7780" w:type="dxa"/>
          </w:tcPr>
          <w:p w:rsidR="001331AE" w:rsidRPr="00DB0C2B" w:rsidRDefault="00B16FB1" w:rsidP="009019D9">
            <w:pPr>
              <w:jc w:val="both"/>
            </w:pPr>
            <w:r w:rsidRPr="00DB0C2B">
              <w:t xml:space="preserve">Propisivanjem navedene obveze nastoji se pridonijeti aktivnoj komunikaciji izdavatelja s investitorima što se, između ostalog, nastoji postići i organizacijom </w:t>
            </w:r>
            <w:r w:rsidR="00385852" w:rsidRPr="00DB0C2B">
              <w:t>ovog događaja.</w:t>
            </w:r>
            <w:r w:rsidR="00305ACC">
              <w:t xml:space="preserve"> Također, propisuje se i obveza obavještavanja investicijske javnosti o mjestu, vremenu i načinu predstavljanja godišnjih izvještaja.</w:t>
            </w:r>
          </w:p>
        </w:tc>
      </w:tr>
      <w:tr w:rsidR="001331AE" w:rsidTr="001E2831">
        <w:tc>
          <w:tcPr>
            <w:tcW w:w="1508" w:type="dxa"/>
          </w:tcPr>
          <w:p w:rsidR="001331AE" w:rsidRPr="007E30AB" w:rsidRDefault="004A0378" w:rsidP="00F54859">
            <w:pPr>
              <w:jc w:val="center"/>
            </w:pPr>
            <w:r w:rsidRPr="007E30AB">
              <w:t>Čl.145.</w:t>
            </w:r>
          </w:p>
        </w:tc>
        <w:tc>
          <w:tcPr>
            <w:tcW w:w="7780" w:type="dxa"/>
          </w:tcPr>
          <w:p w:rsidR="001331AE" w:rsidRPr="007E30AB" w:rsidRDefault="00056152" w:rsidP="009019D9">
            <w:pPr>
              <w:jc w:val="both"/>
            </w:pPr>
            <w:r w:rsidRPr="007E30AB">
              <w:t xml:space="preserve">Čl.145. nastoji se </w:t>
            </w:r>
            <w:r w:rsidR="00D0316A" w:rsidRPr="007E30AB">
              <w:t>potaknuti ponašanja izdavatelja koje će rezultirati većim povjerenjem i manjom percepcijom rizika domaćih i stranih investitora, te ponovnim uključivanjem u trgovinu malih investitora u većoj mjeri.</w:t>
            </w:r>
          </w:p>
          <w:p w:rsidR="00871B05" w:rsidRPr="007E30AB" w:rsidRDefault="00871B05" w:rsidP="001A37EE">
            <w:pPr>
              <w:jc w:val="both"/>
            </w:pPr>
            <w:r w:rsidRPr="007E30AB">
              <w:t>Stavkom 2. ovog članka propisano je da izvješće o reviziji godišnjih financijskih izvještaja ne smije sadržavati nikakve modifikacije revizorova mišljenje izrađene sukladno Međunarodnim revizijskim standardima ili drugim globalno primjenjivim standardima, a st.3. propisuje isti uvjet ako izdavatelj revidira polugodišnje izvještaje.</w:t>
            </w:r>
            <w:r w:rsidR="001A37EE" w:rsidRPr="007E30AB">
              <w:t xml:space="preserve"> Kako bi se izdavateljima omogućilo potrebno vrijeme za prilagodbu postupanja novoj obvezi, u čl.298.st.5. određeno je da se odredba prvi put primjenjuje na godišnje financijske izvještaje za 2018. sa stanjem na dan 31. Prosinca 2018. godine.</w:t>
            </w:r>
          </w:p>
        </w:tc>
      </w:tr>
      <w:tr w:rsidR="001331AE" w:rsidTr="001E2831">
        <w:tc>
          <w:tcPr>
            <w:tcW w:w="1508" w:type="dxa"/>
          </w:tcPr>
          <w:p w:rsidR="001331AE" w:rsidRDefault="004A0378" w:rsidP="00F54859">
            <w:pPr>
              <w:jc w:val="center"/>
            </w:pPr>
            <w:r>
              <w:t>Čl.166.</w:t>
            </w:r>
            <w:r w:rsidR="0076062F">
              <w:t>st.2.</w:t>
            </w:r>
          </w:p>
        </w:tc>
        <w:tc>
          <w:tcPr>
            <w:tcW w:w="7780" w:type="dxa"/>
          </w:tcPr>
          <w:p w:rsidR="001331AE" w:rsidRDefault="0076062F" w:rsidP="00B9581D">
            <w:pPr>
              <w:jc w:val="both"/>
            </w:pPr>
            <w:r>
              <w:t xml:space="preserve">U cilju osiguravanja urednog </w:t>
            </w:r>
            <w:r w:rsidRPr="0076062F">
              <w:t>funkcioniranj</w:t>
            </w:r>
            <w:r>
              <w:t>a</w:t>
            </w:r>
            <w:r w:rsidRPr="0076062F">
              <w:t xml:space="preserve"> tržišta </w:t>
            </w:r>
            <w:r>
              <w:t xml:space="preserve">utvrđuje se </w:t>
            </w:r>
            <w:r w:rsidRPr="0076062F">
              <w:t xml:space="preserve">minimalni pomak cijene </w:t>
            </w:r>
            <w:r w:rsidR="00E123D1" w:rsidRPr="00E123D1">
              <w:t>dionice, potvrde o deponiranim vrijednosnim papirima i određene vrste fondova čijim se udjelima trguje na burzi</w:t>
            </w:r>
            <w:r w:rsidR="00E123D1">
              <w:t>, što predstavlja usklađenje s čl</w:t>
            </w:r>
            <w:r w:rsidR="003E6ECB">
              <w:t xml:space="preserve">.2(1) </w:t>
            </w:r>
            <w:r w:rsidR="003E6ECB">
              <w:lastRenderedPageBreak/>
              <w:t>Uredbom (EU) br. 2017/588.</w:t>
            </w:r>
          </w:p>
        </w:tc>
      </w:tr>
      <w:tr w:rsidR="008D1E85" w:rsidTr="001E2831">
        <w:tc>
          <w:tcPr>
            <w:tcW w:w="1508" w:type="dxa"/>
          </w:tcPr>
          <w:p w:rsidR="008D1E85" w:rsidRDefault="008D1E85" w:rsidP="00F54859">
            <w:pPr>
              <w:jc w:val="center"/>
            </w:pPr>
            <w:r>
              <w:lastRenderedPageBreak/>
              <w:t>Čl.167.st.2.</w:t>
            </w:r>
          </w:p>
        </w:tc>
        <w:tc>
          <w:tcPr>
            <w:tcW w:w="7780" w:type="dxa"/>
          </w:tcPr>
          <w:p w:rsidR="008D1E85" w:rsidRPr="00B9581D" w:rsidRDefault="008D1E85" w:rsidP="00B9581D">
            <w:pPr>
              <w:jc w:val="both"/>
            </w:pPr>
            <w:r w:rsidRPr="00B9581D">
              <w:t xml:space="preserve">Vezano na uvođenje novih obveznih elemenata naloga sukladno Tablici II, Uredbe (EU) </w:t>
            </w:r>
            <w:r w:rsidR="00CF2406">
              <w:t xml:space="preserve">br. </w:t>
            </w:r>
            <w:r w:rsidRPr="00B9581D">
              <w:t>2017/580, izvršena je dopuna ovog članka na način da su propisani dodatni slučajevi u kojima vremenska oznaka naloga ostaje nepromijenjena.</w:t>
            </w:r>
          </w:p>
        </w:tc>
      </w:tr>
      <w:tr w:rsidR="0013120D" w:rsidTr="001E2831">
        <w:tc>
          <w:tcPr>
            <w:tcW w:w="1508" w:type="dxa"/>
          </w:tcPr>
          <w:p w:rsidR="0013120D" w:rsidRDefault="0013120D" w:rsidP="00F54859">
            <w:pPr>
              <w:jc w:val="center"/>
            </w:pPr>
            <w:r>
              <w:t>Čl.170.</w:t>
            </w:r>
          </w:p>
        </w:tc>
        <w:tc>
          <w:tcPr>
            <w:tcW w:w="7780" w:type="dxa"/>
          </w:tcPr>
          <w:p w:rsidR="0013120D" w:rsidRPr="00B9581D" w:rsidRDefault="0013120D" w:rsidP="00B9581D">
            <w:pPr>
              <w:jc w:val="both"/>
            </w:pPr>
            <w:r w:rsidRPr="00B9581D">
              <w:t xml:space="preserve">Odredbom se propisuje da će Burza otkazati naloge iz knjige naloga u slučaju promjene kategorije likvidnosti na temelju koje se određuje pomak cijene </w:t>
            </w:r>
            <w:r w:rsidR="000901EB" w:rsidRPr="00B9581D">
              <w:t xml:space="preserve"> koji se uvodi sukladno čl.2(1) Uredbe (EU) br. 2017/588.</w:t>
            </w:r>
          </w:p>
        </w:tc>
      </w:tr>
      <w:tr w:rsidR="001331AE" w:rsidTr="001E2831">
        <w:tc>
          <w:tcPr>
            <w:tcW w:w="1508" w:type="dxa"/>
          </w:tcPr>
          <w:p w:rsidR="001331AE" w:rsidRDefault="00AF333C" w:rsidP="00F54859">
            <w:pPr>
              <w:jc w:val="center"/>
            </w:pPr>
            <w:r>
              <w:t>Čl.186.</w:t>
            </w:r>
          </w:p>
        </w:tc>
        <w:tc>
          <w:tcPr>
            <w:tcW w:w="7780" w:type="dxa"/>
          </w:tcPr>
          <w:p w:rsidR="001331AE" w:rsidRDefault="009B142C" w:rsidP="00414C1E">
            <w:pPr>
              <w:jc w:val="both"/>
            </w:pPr>
            <w:r>
              <w:t>Čl.186. propisano je da prilikom unosa naloga sa skrivenom količinom njegova minimalna v</w:t>
            </w:r>
            <w:r w:rsidR="00414C1E">
              <w:t xml:space="preserve">eličina mora biti jednaka ili veća od </w:t>
            </w:r>
            <w:r>
              <w:t>10.000 eura, što predstavlja usklađenje s čl.4(2)</w:t>
            </w:r>
            <w:r w:rsidR="00CA1DD4">
              <w:t>(a)</w:t>
            </w:r>
            <w:r>
              <w:t xml:space="preserve"> Uredbe (EU) br. 2017/583.</w:t>
            </w:r>
          </w:p>
        </w:tc>
      </w:tr>
      <w:tr w:rsidR="001331AE" w:rsidTr="001E2831">
        <w:tc>
          <w:tcPr>
            <w:tcW w:w="1508" w:type="dxa"/>
          </w:tcPr>
          <w:p w:rsidR="001331AE" w:rsidRDefault="000475D3" w:rsidP="00F54859">
            <w:pPr>
              <w:jc w:val="center"/>
            </w:pPr>
            <w:r>
              <w:t>Čl.193.</w:t>
            </w:r>
          </w:p>
        </w:tc>
        <w:tc>
          <w:tcPr>
            <w:tcW w:w="7780" w:type="dxa"/>
          </w:tcPr>
          <w:p w:rsidR="001331AE" w:rsidRDefault="00736D69" w:rsidP="00100E4C">
            <w:pPr>
              <w:jc w:val="both"/>
            </w:pPr>
            <w:r>
              <w:t xml:space="preserve">U čl.193. </w:t>
            </w:r>
            <w:r w:rsidR="00100E4C">
              <w:t xml:space="preserve">propisuju se </w:t>
            </w:r>
            <w:r w:rsidR="00E06BBD">
              <w:t xml:space="preserve">novi, </w:t>
            </w:r>
            <w:r>
              <w:t>obavezni elementi naloga</w:t>
            </w:r>
            <w:r w:rsidR="00E06BBD">
              <w:t xml:space="preserve"> koji obuhvaćaju </w:t>
            </w:r>
            <w:r>
              <w:t>identifikacijsk</w:t>
            </w:r>
            <w:r w:rsidR="00E06BBD">
              <w:t>u</w:t>
            </w:r>
            <w:r>
              <w:t xml:space="preserve"> oznak</w:t>
            </w:r>
            <w:r w:rsidR="00E06BBD">
              <w:t>u</w:t>
            </w:r>
            <w:r>
              <w:t xml:space="preserve"> klijenata, identifikacijsk</w:t>
            </w:r>
            <w:r w:rsidR="00E06BBD">
              <w:t>u oznaku</w:t>
            </w:r>
            <w:r>
              <w:t xml:space="preserve"> osobe ili računalnog algoritma odgovornih za odluku o ulaganju, </w:t>
            </w:r>
            <w:r w:rsidRPr="00736D69">
              <w:t>identifikacijsk</w:t>
            </w:r>
            <w:r w:rsidR="00E06BBD">
              <w:t>u</w:t>
            </w:r>
            <w:r w:rsidRPr="00736D69">
              <w:t xml:space="preserve"> oznak</w:t>
            </w:r>
            <w:r w:rsidR="00E06BBD">
              <w:t>u</w:t>
            </w:r>
            <w:r w:rsidRPr="00736D69">
              <w:t xml:space="preserve"> osobe ili računalnog algoritma odgovornih za</w:t>
            </w:r>
            <w:r>
              <w:t xml:space="preserve"> izvršenje transakcije te oznak</w:t>
            </w:r>
            <w:r w:rsidR="00E06BBD">
              <w:t>u</w:t>
            </w:r>
            <w:r>
              <w:t xml:space="preserve"> koja prikazuje </w:t>
            </w:r>
            <w:r w:rsidR="00100E4C">
              <w:t xml:space="preserve"> aktivnost osiguravanja likvidnosti, </w:t>
            </w:r>
            <w:r w:rsidR="00E06BBD">
              <w:t xml:space="preserve">što predstavlja </w:t>
            </w:r>
            <w:r w:rsidR="00E06BBD" w:rsidRPr="00E06BBD">
              <w:t>usklađenje s U</w:t>
            </w:r>
            <w:r w:rsidRPr="00E06BBD">
              <w:t xml:space="preserve">redbom </w:t>
            </w:r>
            <w:r w:rsidR="00E06BBD" w:rsidRPr="00E06BBD">
              <w:t xml:space="preserve">(EU) br. </w:t>
            </w:r>
            <w:r w:rsidRPr="00E06BBD">
              <w:t>2017/580</w:t>
            </w:r>
            <w:r w:rsidR="00E06BBD" w:rsidRPr="00E06BBD">
              <w:t xml:space="preserve"> (Tablica II). Cilj odredbi je kako bi se </w:t>
            </w:r>
            <w:r w:rsidRPr="00E06BBD">
              <w:t>učinkovito otkrile i istražile potencijalne zlouporabe tržišta ili pokušaji zlouporabe tržišta</w:t>
            </w:r>
            <w:r w:rsidR="00E06BBD" w:rsidRPr="00E06BBD">
              <w:t>.</w:t>
            </w:r>
          </w:p>
        </w:tc>
      </w:tr>
      <w:tr w:rsidR="001331AE" w:rsidTr="001E2831">
        <w:tc>
          <w:tcPr>
            <w:tcW w:w="1508" w:type="dxa"/>
          </w:tcPr>
          <w:p w:rsidR="001331AE" w:rsidRPr="00056152" w:rsidRDefault="00973D95" w:rsidP="00056152">
            <w:pPr>
              <w:jc w:val="center"/>
            </w:pPr>
            <w:r w:rsidRPr="00056152">
              <w:t>Čl.201.</w:t>
            </w:r>
          </w:p>
        </w:tc>
        <w:tc>
          <w:tcPr>
            <w:tcW w:w="7780" w:type="dxa"/>
          </w:tcPr>
          <w:p w:rsidR="001331AE" w:rsidRPr="00056152" w:rsidRDefault="00973D95" w:rsidP="00EE0623">
            <w:pPr>
              <w:jc w:val="both"/>
            </w:pPr>
            <w:r w:rsidRPr="00056152">
              <w:t xml:space="preserve">Čl.201. </w:t>
            </w:r>
            <w:r w:rsidR="00EE2006" w:rsidRPr="00056152">
              <w:t>propisuje se mogućnost Burze na uvođenje u</w:t>
            </w:r>
            <w:r w:rsidRPr="00056152">
              <w:t>nutardnevn</w:t>
            </w:r>
            <w:r w:rsidR="00EE2006" w:rsidRPr="00056152">
              <w:t>e</w:t>
            </w:r>
            <w:r w:rsidRPr="00056152">
              <w:t xml:space="preserve"> dražb</w:t>
            </w:r>
            <w:r w:rsidR="00EE2006" w:rsidRPr="00056152">
              <w:t>e</w:t>
            </w:r>
            <w:r w:rsidRPr="00056152">
              <w:t>.</w:t>
            </w:r>
            <w:r w:rsidR="00EE2006" w:rsidRPr="00056152">
              <w:t xml:space="preserve"> </w:t>
            </w:r>
            <w:r w:rsidRPr="00056152">
              <w:t xml:space="preserve"> Unutardnevna dražba </w:t>
            </w:r>
            <w:r w:rsidR="001D714F" w:rsidRPr="00056152">
              <w:t>uvodi se na</w:t>
            </w:r>
            <w:r w:rsidR="00425FFC" w:rsidRPr="00056152">
              <w:t>stavno na zaključke radne skupine za trgovinski model</w:t>
            </w:r>
            <w:r w:rsidR="00EE0623">
              <w:t>.</w:t>
            </w:r>
            <w:r w:rsidR="00EE2006" w:rsidRPr="00056152">
              <w:t xml:space="preserve"> </w:t>
            </w:r>
            <w:r w:rsidR="00425FFC" w:rsidRPr="00056152">
              <w:t xml:space="preserve">Cilj uvođenja unutardnevne dražbe je usklađenje s postupanjem drugih burzi, te pružanje mogućnosti investitorima i njihovim brokerima, da naloge veće količine izvršavaju i sredinom dana u režimu dražbe. Na taj način pružit mogućnost će se drugim investitorima da sudjeluju u transakcijama većih investitora. </w:t>
            </w:r>
          </w:p>
        </w:tc>
      </w:tr>
      <w:tr w:rsidR="001331AE" w:rsidTr="001E2831">
        <w:tc>
          <w:tcPr>
            <w:tcW w:w="1508" w:type="dxa"/>
          </w:tcPr>
          <w:p w:rsidR="001331AE" w:rsidRDefault="00F037DF" w:rsidP="00F54859">
            <w:pPr>
              <w:jc w:val="center"/>
            </w:pPr>
            <w:r w:rsidRPr="00FA4088">
              <w:t>Čl.212.</w:t>
            </w:r>
          </w:p>
        </w:tc>
        <w:tc>
          <w:tcPr>
            <w:tcW w:w="7780" w:type="dxa"/>
          </w:tcPr>
          <w:p w:rsidR="001331AE" w:rsidRDefault="00F037DF" w:rsidP="00686026">
            <w:pPr>
              <w:jc w:val="both"/>
            </w:pPr>
            <w:r>
              <w:t xml:space="preserve">U cilju osiguravanja urednog i djelotvornog trgovanja čl. 212. </w:t>
            </w:r>
            <w:r w:rsidR="00EE2006">
              <w:t xml:space="preserve">propisuje </w:t>
            </w:r>
            <w:r w:rsidR="00224380">
              <w:t>k</w:t>
            </w:r>
            <w:r>
              <w:t xml:space="preserve">ontrole prije trgovanja </w:t>
            </w:r>
            <w:r w:rsidR="00224380">
              <w:t>koje omogućava trgovinski sustav, što predstavlja usklađenje s čl.20(2) Uredbe (EU) br. 2017/584.</w:t>
            </w:r>
          </w:p>
        </w:tc>
      </w:tr>
      <w:tr w:rsidR="000475D3" w:rsidTr="001E2831">
        <w:tc>
          <w:tcPr>
            <w:tcW w:w="1508" w:type="dxa"/>
          </w:tcPr>
          <w:p w:rsidR="000475D3" w:rsidRDefault="003C39A5" w:rsidP="00F54859">
            <w:pPr>
              <w:jc w:val="center"/>
            </w:pPr>
            <w:r>
              <w:t>Čl.232.-234.</w:t>
            </w:r>
          </w:p>
        </w:tc>
        <w:tc>
          <w:tcPr>
            <w:tcW w:w="7780" w:type="dxa"/>
          </w:tcPr>
          <w:p w:rsidR="000475D3" w:rsidRDefault="003C39A5" w:rsidP="00686026">
            <w:pPr>
              <w:jc w:val="both"/>
            </w:pPr>
            <w:r>
              <w:t>Izvršeno je usklađenje s odredbama Uredbe (EU) br. 236/2012 koj</w:t>
            </w:r>
            <w:r w:rsidR="00491011">
              <w:t xml:space="preserve">a </w:t>
            </w:r>
            <w:r>
              <w:t>uređ</w:t>
            </w:r>
            <w:r w:rsidR="00491011">
              <w:t xml:space="preserve">uje </w:t>
            </w:r>
            <w:r>
              <w:t>pitanje kratke prodaje.</w:t>
            </w:r>
          </w:p>
        </w:tc>
      </w:tr>
      <w:tr w:rsidR="000475D3" w:rsidTr="001E2831">
        <w:tc>
          <w:tcPr>
            <w:tcW w:w="1508" w:type="dxa"/>
          </w:tcPr>
          <w:p w:rsidR="000475D3" w:rsidRDefault="00EE33E0" w:rsidP="00F54859">
            <w:pPr>
              <w:jc w:val="center"/>
            </w:pPr>
            <w:r>
              <w:t>Čl.249.</w:t>
            </w:r>
          </w:p>
        </w:tc>
        <w:tc>
          <w:tcPr>
            <w:tcW w:w="7780" w:type="dxa"/>
          </w:tcPr>
          <w:p w:rsidR="000475D3" w:rsidRDefault="0028465A" w:rsidP="00686026">
            <w:pPr>
              <w:jc w:val="both"/>
            </w:pPr>
            <w:r>
              <w:t xml:space="preserve">Čl.249. propisuje </w:t>
            </w:r>
            <w:r w:rsidR="00EE33E0">
              <w:t>mehanizm</w:t>
            </w:r>
            <w:r>
              <w:t>e</w:t>
            </w:r>
            <w:r w:rsidR="00EE33E0">
              <w:t xml:space="preserve"> za sprječavanje neurednih uvjeta trgovanja i kršenja ograničenja </w:t>
            </w:r>
            <w:r w:rsidR="00437704">
              <w:t>kapaciteta u skladu s čl.18(1) Uredbom (EU) br. 2017/584</w:t>
            </w:r>
            <w:r>
              <w:t xml:space="preserve">, a koji obuhvaćaju </w:t>
            </w:r>
            <w:r w:rsidR="00B63586">
              <w:t>ograničenja po članu u pogledu broja naloga koji se šalju u sekundi; mehanizme za upravljanje volatilnošću (dražbe uravnoteženja, produljena dražba uravnoteženja), te kontrole prije trgovanja.</w:t>
            </w:r>
          </w:p>
        </w:tc>
      </w:tr>
      <w:tr w:rsidR="000475D3" w:rsidTr="001E2831">
        <w:tc>
          <w:tcPr>
            <w:tcW w:w="1508" w:type="dxa"/>
          </w:tcPr>
          <w:p w:rsidR="000475D3" w:rsidRDefault="00437704" w:rsidP="00F54859">
            <w:pPr>
              <w:jc w:val="center"/>
            </w:pPr>
            <w:r>
              <w:t>Čl.250.</w:t>
            </w:r>
          </w:p>
        </w:tc>
        <w:tc>
          <w:tcPr>
            <w:tcW w:w="7780" w:type="dxa"/>
          </w:tcPr>
          <w:p w:rsidR="000475D3" w:rsidRDefault="00437704" w:rsidP="00686026">
            <w:pPr>
              <w:jc w:val="both"/>
            </w:pPr>
            <w:r>
              <w:t xml:space="preserve">Čl.250. </w:t>
            </w:r>
            <w:r w:rsidR="00F44D32">
              <w:t xml:space="preserve">propisuje </w:t>
            </w:r>
            <w:r>
              <w:t>ovlaštenja Burze u cilju sprječavanja neurednog trgovanja i kršenja ograničenja kapaciteta, što predstavlja usklađenje s odredbom čl.18(2) Uredbe (EU) br. 2017/584.</w:t>
            </w:r>
          </w:p>
        </w:tc>
      </w:tr>
      <w:tr w:rsidR="000475D3" w:rsidTr="001E2831">
        <w:tc>
          <w:tcPr>
            <w:tcW w:w="1508" w:type="dxa"/>
          </w:tcPr>
          <w:p w:rsidR="000475D3" w:rsidRDefault="00437704" w:rsidP="00F54859">
            <w:pPr>
              <w:jc w:val="center"/>
            </w:pPr>
            <w:r>
              <w:t>Čl.251.</w:t>
            </w:r>
          </w:p>
        </w:tc>
        <w:tc>
          <w:tcPr>
            <w:tcW w:w="7780" w:type="dxa"/>
          </w:tcPr>
          <w:p w:rsidR="000475D3" w:rsidRDefault="00437704" w:rsidP="00686026">
            <w:pPr>
              <w:jc w:val="both"/>
            </w:pPr>
            <w:r>
              <w:t xml:space="preserve">Čl.251. predstavlja usklađenje s Uredbom (EU) br. 2017/566 kojom se uređuje pitanje ograničavanja omjera neizvršenih naloga i transakcija </w:t>
            </w:r>
            <w:r w:rsidR="00530CDD">
              <w:t xml:space="preserve">koje svaki njezin član može unositi u trgovinski sustav za svaki financijski instrument kojim se trguje </w:t>
            </w:r>
            <w:r>
              <w:t>radi sprečavanja neurednih uvjeta trgovanja</w:t>
            </w:r>
            <w:r w:rsidR="00686026">
              <w:t>.</w:t>
            </w:r>
          </w:p>
        </w:tc>
      </w:tr>
      <w:tr w:rsidR="000475D3" w:rsidTr="001E2831">
        <w:tc>
          <w:tcPr>
            <w:tcW w:w="1508" w:type="dxa"/>
          </w:tcPr>
          <w:p w:rsidR="000475D3" w:rsidRDefault="00530CDD" w:rsidP="00F54859">
            <w:pPr>
              <w:jc w:val="center"/>
            </w:pPr>
            <w:r>
              <w:t>Čl.260.st.1.t.2.</w:t>
            </w:r>
          </w:p>
        </w:tc>
        <w:tc>
          <w:tcPr>
            <w:tcW w:w="7780" w:type="dxa"/>
          </w:tcPr>
          <w:p w:rsidR="000475D3" w:rsidRDefault="00530CDD" w:rsidP="00B32231">
            <w:pPr>
              <w:jc w:val="both"/>
            </w:pPr>
            <w:r>
              <w:t>Navedena odredba propisuje obavezu Burze da obustavi trgovinu strukturiranim proizvodom u slučaju obustave ili prestanka uvrštenja temeljnog instrumenta ako o istom ovisi cijena ili vrijednost strukturiranog proizvoda, čime je izvršeno usklađenje s čl.1. Uredbe (EU) br. 2017/569.</w:t>
            </w:r>
          </w:p>
        </w:tc>
      </w:tr>
      <w:tr w:rsidR="000475D3" w:rsidTr="001E2831">
        <w:tc>
          <w:tcPr>
            <w:tcW w:w="1508" w:type="dxa"/>
          </w:tcPr>
          <w:p w:rsidR="000475D3" w:rsidRDefault="00B237DD" w:rsidP="00F54859">
            <w:pPr>
              <w:jc w:val="center"/>
            </w:pPr>
            <w:r>
              <w:t>Čl.262.st.2.</w:t>
            </w:r>
          </w:p>
        </w:tc>
        <w:tc>
          <w:tcPr>
            <w:tcW w:w="7780" w:type="dxa"/>
          </w:tcPr>
          <w:p w:rsidR="000475D3" w:rsidRDefault="008F22C3" w:rsidP="00B32231">
            <w:pPr>
              <w:jc w:val="both"/>
            </w:pPr>
            <w:r w:rsidRPr="008F22C3">
              <w:t>Naveden</w:t>
            </w:r>
            <w:r>
              <w:t xml:space="preserve">om odredbom je </w:t>
            </w:r>
            <w:r w:rsidRPr="008F22C3">
              <w:t xml:space="preserve">izvršeno upućivanja na čl. 80. Uredbe (EU) br.2017/565 koji propisuje okolnosti kada se smatra da bi </w:t>
            </w:r>
            <w:r w:rsidR="00F83DB3">
              <w:t xml:space="preserve">obustava trgovanja </w:t>
            </w:r>
            <w:r w:rsidRPr="008F22C3">
              <w:t>mo</w:t>
            </w:r>
            <w:r w:rsidR="00F83DB3">
              <w:t>gla</w:t>
            </w:r>
            <w:r w:rsidRPr="008F22C3">
              <w:t xml:space="preserve"> uzrokovati značajnu štetu interesima ulagatelja ili urednom funkcioniranju tržišta.</w:t>
            </w:r>
          </w:p>
        </w:tc>
      </w:tr>
      <w:tr w:rsidR="000475D3" w:rsidTr="001E2831">
        <w:tc>
          <w:tcPr>
            <w:tcW w:w="1508" w:type="dxa"/>
          </w:tcPr>
          <w:p w:rsidR="000475D3" w:rsidRDefault="00BA7508" w:rsidP="00F54859">
            <w:pPr>
              <w:jc w:val="center"/>
            </w:pPr>
            <w:r>
              <w:t>Čl.271.</w:t>
            </w:r>
          </w:p>
        </w:tc>
        <w:tc>
          <w:tcPr>
            <w:tcW w:w="7780" w:type="dxa"/>
          </w:tcPr>
          <w:p w:rsidR="000475D3" w:rsidRDefault="00BA7508" w:rsidP="00C83C83">
            <w:r>
              <w:t xml:space="preserve">Čl.271. </w:t>
            </w:r>
            <w:r w:rsidR="00C83C83">
              <w:t xml:space="preserve">propisuje </w:t>
            </w:r>
            <w:r>
              <w:t xml:space="preserve">ovlasti Burze u provođenju nadzora nad članovima. </w:t>
            </w:r>
            <w:r w:rsidR="00B41687">
              <w:t>Isto predstavlja ujednačavanje s odredbom čl.54. Zakona o tržištu kapitala.</w:t>
            </w:r>
          </w:p>
        </w:tc>
      </w:tr>
      <w:tr w:rsidR="000475D3" w:rsidTr="001E2831">
        <w:tc>
          <w:tcPr>
            <w:tcW w:w="1508" w:type="dxa"/>
          </w:tcPr>
          <w:p w:rsidR="000475D3" w:rsidRDefault="00B41687" w:rsidP="00F54859">
            <w:pPr>
              <w:jc w:val="center"/>
            </w:pPr>
            <w:r>
              <w:t>Čl.272.</w:t>
            </w:r>
          </w:p>
        </w:tc>
        <w:tc>
          <w:tcPr>
            <w:tcW w:w="7780" w:type="dxa"/>
          </w:tcPr>
          <w:p w:rsidR="000475D3" w:rsidRDefault="00B41687" w:rsidP="00B41687">
            <w:r>
              <w:t>Čl.272. propisuje obvezu Burze da provodi godišnju procjenu usklađenosti svojih članova, što predstavlja usklađenje s čl.7(3) Uredbe (EU) br. 2017/584.</w:t>
            </w:r>
          </w:p>
        </w:tc>
      </w:tr>
      <w:tr w:rsidR="000475D3" w:rsidTr="001E2831">
        <w:tc>
          <w:tcPr>
            <w:tcW w:w="1508" w:type="dxa"/>
          </w:tcPr>
          <w:p w:rsidR="000475D3" w:rsidRDefault="00C96280" w:rsidP="00F54859">
            <w:pPr>
              <w:jc w:val="center"/>
            </w:pPr>
            <w:r>
              <w:lastRenderedPageBreak/>
              <w:t>Čl.293.</w:t>
            </w:r>
          </w:p>
        </w:tc>
        <w:tc>
          <w:tcPr>
            <w:tcW w:w="7780" w:type="dxa"/>
          </w:tcPr>
          <w:p w:rsidR="000475D3" w:rsidRDefault="00C96280" w:rsidP="00590376">
            <w:r>
              <w:t>Točkom 24. Preambule Uredbe (EU) br. 600/2014 definirano je da bi se Direktiva 95/46/EZ Europskog parlamenta i Vijeća, koja je u hrvatsko nacionalno zakonodavstvo implementirana kroz odredbe Zakona o zaštiti osobnih podataka (NN br.: 103/03, 118/06, 41/08, 130/11 i 106/12) i Uredba (EZ) br. 45/2011 Europskog Parlamenta i Vijeća trebale u potpunosti primjenjivati na razmjenu, prijenos i obradu osobnih podata</w:t>
            </w:r>
            <w:r w:rsidR="00590376">
              <w:t xml:space="preserve">ka za potrebe Uredbe </w:t>
            </w:r>
            <w:r w:rsidR="008B6E47">
              <w:t xml:space="preserve">(EU) br. </w:t>
            </w:r>
            <w:r w:rsidR="00590376">
              <w:t xml:space="preserve">600/2014. </w:t>
            </w:r>
            <w:r>
              <w:t>U skladu s navedenim u prijedlog Pravila dodane su odredbe o obvezama člana/izdavatelja kao voditelja obrade osobnih podataka s jedne strane, te Burze kao izvršitelja obrade osobnih podataka s druge strane, sve vezano uz zaštitu i pravilno postupanje s osobnim podacima fizičkih osoba, dostavljenim Burzi u svrhu ispunjenja međusobnih obveza Burze i člana/izdavatelja.</w:t>
            </w:r>
          </w:p>
        </w:tc>
      </w:tr>
      <w:tr w:rsidR="000475D3" w:rsidTr="001E2831">
        <w:tc>
          <w:tcPr>
            <w:tcW w:w="1508" w:type="dxa"/>
          </w:tcPr>
          <w:p w:rsidR="000475D3" w:rsidRDefault="001A37EE" w:rsidP="00F54859">
            <w:pPr>
              <w:jc w:val="center"/>
            </w:pPr>
            <w:r>
              <w:t>Čl.298.st.1.</w:t>
            </w:r>
          </w:p>
        </w:tc>
        <w:tc>
          <w:tcPr>
            <w:tcW w:w="7780" w:type="dxa"/>
          </w:tcPr>
          <w:p w:rsidR="001A37EE" w:rsidRDefault="001A37EE" w:rsidP="00AA745B">
            <w:r w:rsidRPr="00056152">
              <w:t xml:space="preserve">Prijelaznim i završnim odredbama </w:t>
            </w:r>
            <w:r w:rsidR="00AA745B" w:rsidRPr="00056152">
              <w:t>propisano je stupanje na snagu ovog prijedloga Pravila Burze.</w:t>
            </w:r>
          </w:p>
        </w:tc>
      </w:tr>
    </w:tbl>
    <w:p w:rsidR="0025124D" w:rsidRDefault="0025124D"/>
    <w:sectPr w:rsidR="0025124D">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69E5" w:rsidRDefault="00AB69E5" w:rsidP="00966E49">
      <w:pPr>
        <w:spacing w:after="0" w:line="240" w:lineRule="auto"/>
      </w:pPr>
      <w:r>
        <w:separator/>
      </w:r>
    </w:p>
  </w:endnote>
  <w:endnote w:type="continuationSeparator" w:id="0">
    <w:p w:rsidR="00AB69E5" w:rsidRDefault="00AB69E5" w:rsidP="00966E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2428454"/>
      <w:docPartObj>
        <w:docPartGallery w:val="Page Numbers (Bottom of Page)"/>
        <w:docPartUnique/>
      </w:docPartObj>
    </w:sdtPr>
    <w:sdtEndPr/>
    <w:sdtContent>
      <w:p w:rsidR="00CB1E09" w:rsidRDefault="00CB1E09">
        <w:pPr>
          <w:pStyle w:val="Footer"/>
          <w:jc w:val="center"/>
        </w:pPr>
        <w:r>
          <w:fldChar w:fldCharType="begin"/>
        </w:r>
        <w:r>
          <w:instrText>PAGE   \* MERGEFORMAT</w:instrText>
        </w:r>
        <w:r>
          <w:fldChar w:fldCharType="separate"/>
        </w:r>
        <w:r w:rsidR="003B278E">
          <w:rPr>
            <w:noProof/>
          </w:rPr>
          <w:t>5</w:t>
        </w:r>
        <w:r>
          <w:fldChar w:fldCharType="end"/>
        </w:r>
      </w:p>
    </w:sdtContent>
  </w:sdt>
  <w:p w:rsidR="00CB1E09" w:rsidRDefault="00CB1E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69E5" w:rsidRDefault="00AB69E5" w:rsidP="00966E49">
      <w:pPr>
        <w:spacing w:after="0" w:line="240" w:lineRule="auto"/>
      </w:pPr>
      <w:r>
        <w:separator/>
      </w:r>
    </w:p>
  </w:footnote>
  <w:footnote w:type="continuationSeparator" w:id="0">
    <w:p w:rsidR="00AB69E5" w:rsidRDefault="00AB69E5" w:rsidP="00966E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E49" w:rsidRPr="00966E49" w:rsidRDefault="00966E49" w:rsidP="00966E49">
    <w:pPr>
      <w:pStyle w:val="Header"/>
      <w:jc w:val="center"/>
      <w:rPr>
        <w:b/>
        <w:sz w:val="24"/>
        <w:szCs w:val="24"/>
      </w:rPr>
    </w:pPr>
    <w:r w:rsidRPr="00966E49">
      <w:rPr>
        <w:b/>
        <w:sz w:val="24"/>
        <w:szCs w:val="24"/>
      </w:rPr>
      <w:t>Obrazloženja novih i izmijenjenih članaka Pravila Burze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E24"/>
    <w:rsid w:val="00015031"/>
    <w:rsid w:val="000276DE"/>
    <w:rsid w:val="000475D3"/>
    <w:rsid w:val="00056152"/>
    <w:rsid w:val="000613DB"/>
    <w:rsid w:val="00063791"/>
    <w:rsid w:val="000901EB"/>
    <w:rsid w:val="000A5E24"/>
    <w:rsid w:val="000C3984"/>
    <w:rsid w:val="000E657C"/>
    <w:rsid w:val="00100E4C"/>
    <w:rsid w:val="00111110"/>
    <w:rsid w:val="0013120D"/>
    <w:rsid w:val="001331AE"/>
    <w:rsid w:val="0016102C"/>
    <w:rsid w:val="00190401"/>
    <w:rsid w:val="001A2A6E"/>
    <w:rsid w:val="001A37EE"/>
    <w:rsid w:val="001D714F"/>
    <w:rsid w:val="001E2831"/>
    <w:rsid w:val="001F4902"/>
    <w:rsid w:val="00205FE6"/>
    <w:rsid w:val="002212AC"/>
    <w:rsid w:val="00224380"/>
    <w:rsid w:val="0025124D"/>
    <w:rsid w:val="0028465A"/>
    <w:rsid w:val="00291746"/>
    <w:rsid w:val="002964FE"/>
    <w:rsid w:val="00305ACC"/>
    <w:rsid w:val="00307FE9"/>
    <w:rsid w:val="003514F5"/>
    <w:rsid w:val="00370AC4"/>
    <w:rsid w:val="00382E09"/>
    <w:rsid w:val="00385852"/>
    <w:rsid w:val="00394B85"/>
    <w:rsid w:val="003A248F"/>
    <w:rsid w:val="003A6403"/>
    <w:rsid w:val="003B278E"/>
    <w:rsid w:val="003C39A5"/>
    <w:rsid w:val="003D10BC"/>
    <w:rsid w:val="003E6ECB"/>
    <w:rsid w:val="003E6ED8"/>
    <w:rsid w:val="003F353B"/>
    <w:rsid w:val="00414C1E"/>
    <w:rsid w:val="00425FFC"/>
    <w:rsid w:val="00437704"/>
    <w:rsid w:val="00443FDC"/>
    <w:rsid w:val="00480BAB"/>
    <w:rsid w:val="004836F8"/>
    <w:rsid w:val="00491011"/>
    <w:rsid w:val="004A0378"/>
    <w:rsid w:val="004A61E3"/>
    <w:rsid w:val="004B0428"/>
    <w:rsid w:val="00525961"/>
    <w:rsid w:val="00526513"/>
    <w:rsid w:val="00530CDD"/>
    <w:rsid w:val="00543860"/>
    <w:rsid w:val="00566A67"/>
    <w:rsid w:val="00590376"/>
    <w:rsid w:val="00592E27"/>
    <w:rsid w:val="005B541A"/>
    <w:rsid w:val="005D7F69"/>
    <w:rsid w:val="005E626C"/>
    <w:rsid w:val="0066766F"/>
    <w:rsid w:val="00685CA7"/>
    <w:rsid w:val="00686026"/>
    <w:rsid w:val="00714B35"/>
    <w:rsid w:val="00727FDB"/>
    <w:rsid w:val="00736AA9"/>
    <w:rsid w:val="00736D69"/>
    <w:rsid w:val="007477AB"/>
    <w:rsid w:val="0076062F"/>
    <w:rsid w:val="00763659"/>
    <w:rsid w:val="007D0E82"/>
    <w:rsid w:val="007D3727"/>
    <w:rsid w:val="007E30AB"/>
    <w:rsid w:val="007F1F48"/>
    <w:rsid w:val="007F263E"/>
    <w:rsid w:val="007F27B9"/>
    <w:rsid w:val="00832B48"/>
    <w:rsid w:val="00843ED3"/>
    <w:rsid w:val="00866C96"/>
    <w:rsid w:val="00871B05"/>
    <w:rsid w:val="00873053"/>
    <w:rsid w:val="00884DEA"/>
    <w:rsid w:val="008A2280"/>
    <w:rsid w:val="008A5086"/>
    <w:rsid w:val="008B6E47"/>
    <w:rsid w:val="008C03D3"/>
    <w:rsid w:val="008D05E5"/>
    <w:rsid w:val="008D1E85"/>
    <w:rsid w:val="008E00E6"/>
    <w:rsid w:val="008F22C3"/>
    <w:rsid w:val="008F23EB"/>
    <w:rsid w:val="009019D9"/>
    <w:rsid w:val="0091596C"/>
    <w:rsid w:val="009242F1"/>
    <w:rsid w:val="00927A49"/>
    <w:rsid w:val="00930DD8"/>
    <w:rsid w:val="009325C2"/>
    <w:rsid w:val="00957B58"/>
    <w:rsid w:val="00966E49"/>
    <w:rsid w:val="00973D95"/>
    <w:rsid w:val="009B142C"/>
    <w:rsid w:val="009B3AFC"/>
    <w:rsid w:val="00A42BA2"/>
    <w:rsid w:val="00A64AA6"/>
    <w:rsid w:val="00AA745B"/>
    <w:rsid w:val="00AB69E5"/>
    <w:rsid w:val="00AC2D80"/>
    <w:rsid w:val="00AF333C"/>
    <w:rsid w:val="00B00F7E"/>
    <w:rsid w:val="00B16FB1"/>
    <w:rsid w:val="00B237DD"/>
    <w:rsid w:val="00B32231"/>
    <w:rsid w:val="00B35E24"/>
    <w:rsid w:val="00B4111A"/>
    <w:rsid w:val="00B41687"/>
    <w:rsid w:val="00B63586"/>
    <w:rsid w:val="00B73CB0"/>
    <w:rsid w:val="00B74AE5"/>
    <w:rsid w:val="00B9581D"/>
    <w:rsid w:val="00BA7508"/>
    <w:rsid w:val="00BC6A48"/>
    <w:rsid w:val="00BE5205"/>
    <w:rsid w:val="00C22B72"/>
    <w:rsid w:val="00C27A85"/>
    <w:rsid w:val="00C52554"/>
    <w:rsid w:val="00C657C9"/>
    <w:rsid w:val="00C67C49"/>
    <w:rsid w:val="00C83C83"/>
    <w:rsid w:val="00C921F3"/>
    <w:rsid w:val="00C96280"/>
    <w:rsid w:val="00CA153C"/>
    <w:rsid w:val="00CA1DD4"/>
    <w:rsid w:val="00CB1E09"/>
    <w:rsid w:val="00CE29B3"/>
    <w:rsid w:val="00CF2406"/>
    <w:rsid w:val="00D03080"/>
    <w:rsid w:val="00D0316A"/>
    <w:rsid w:val="00D074D9"/>
    <w:rsid w:val="00D10363"/>
    <w:rsid w:val="00D67C29"/>
    <w:rsid w:val="00D711E8"/>
    <w:rsid w:val="00D878C9"/>
    <w:rsid w:val="00DB0C2B"/>
    <w:rsid w:val="00DD3926"/>
    <w:rsid w:val="00E06BBD"/>
    <w:rsid w:val="00E123D1"/>
    <w:rsid w:val="00E16DC6"/>
    <w:rsid w:val="00E841C8"/>
    <w:rsid w:val="00E85670"/>
    <w:rsid w:val="00E92419"/>
    <w:rsid w:val="00EC077D"/>
    <w:rsid w:val="00ED32D0"/>
    <w:rsid w:val="00EE0623"/>
    <w:rsid w:val="00EE2006"/>
    <w:rsid w:val="00EE2C54"/>
    <w:rsid w:val="00EE33E0"/>
    <w:rsid w:val="00F037DF"/>
    <w:rsid w:val="00F44D32"/>
    <w:rsid w:val="00F54859"/>
    <w:rsid w:val="00F63F64"/>
    <w:rsid w:val="00F836D0"/>
    <w:rsid w:val="00F83DB3"/>
    <w:rsid w:val="00FA4088"/>
    <w:rsid w:val="00FF5E3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5E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D37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3727"/>
    <w:rPr>
      <w:rFonts w:ascii="Tahoma" w:hAnsi="Tahoma" w:cs="Tahoma"/>
      <w:sz w:val="16"/>
      <w:szCs w:val="16"/>
    </w:rPr>
  </w:style>
  <w:style w:type="paragraph" w:styleId="Header">
    <w:name w:val="header"/>
    <w:basedOn w:val="Normal"/>
    <w:link w:val="HeaderChar"/>
    <w:uiPriority w:val="99"/>
    <w:unhideWhenUsed/>
    <w:rsid w:val="00966E49"/>
    <w:pPr>
      <w:tabs>
        <w:tab w:val="center" w:pos="4536"/>
        <w:tab w:val="right" w:pos="9072"/>
      </w:tabs>
      <w:spacing w:after="0" w:line="240" w:lineRule="auto"/>
    </w:pPr>
  </w:style>
  <w:style w:type="character" w:customStyle="1" w:styleId="HeaderChar">
    <w:name w:val="Header Char"/>
    <w:basedOn w:val="DefaultParagraphFont"/>
    <w:link w:val="Header"/>
    <w:uiPriority w:val="99"/>
    <w:rsid w:val="00966E49"/>
  </w:style>
  <w:style w:type="paragraph" w:styleId="Footer">
    <w:name w:val="footer"/>
    <w:basedOn w:val="Normal"/>
    <w:link w:val="FooterChar"/>
    <w:uiPriority w:val="99"/>
    <w:unhideWhenUsed/>
    <w:rsid w:val="00966E49"/>
    <w:pPr>
      <w:tabs>
        <w:tab w:val="center" w:pos="4536"/>
        <w:tab w:val="right" w:pos="9072"/>
      </w:tabs>
      <w:spacing w:after="0" w:line="240" w:lineRule="auto"/>
    </w:pPr>
  </w:style>
  <w:style w:type="character" w:customStyle="1" w:styleId="FooterChar">
    <w:name w:val="Footer Char"/>
    <w:basedOn w:val="DefaultParagraphFont"/>
    <w:link w:val="Footer"/>
    <w:uiPriority w:val="99"/>
    <w:rsid w:val="00966E49"/>
  </w:style>
  <w:style w:type="character" w:styleId="CommentReference">
    <w:name w:val="annotation reference"/>
    <w:basedOn w:val="DefaultParagraphFont"/>
    <w:uiPriority w:val="99"/>
    <w:semiHidden/>
    <w:unhideWhenUsed/>
    <w:rsid w:val="00425FFC"/>
    <w:rPr>
      <w:sz w:val="16"/>
      <w:szCs w:val="16"/>
    </w:rPr>
  </w:style>
  <w:style w:type="paragraph" w:styleId="CommentText">
    <w:name w:val="annotation text"/>
    <w:basedOn w:val="Normal"/>
    <w:link w:val="CommentTextChar"/>
    <w:uiPriority w:val="99"/>
    <w:semiHidden/>
    <w:unhideWhenUsed/>
    <w:rsid w:val="00425FFC"/>
    <w:pPr>
      <w:spacing w:line="240" w:lineRule="auto"/>
    </w:pPr>
    <w:rPr>
      <w:sz w:val="20"/>
      <w:szCs w:val="20"/>
    </w:rPr>
  </w:style>
  <w:style w:type="character" w:customStyle="1" w:styleId="CommentTextChar">
    <w:name w:val="Comment Text Char"/>
    <w:basedOn w:val="DefaultParagraphFont"/>
    <w:link w:val="CommentText"/>
    <w:uiPriority w:val="99"/>
    <w:semiHidden/>
    <w:rsid w:val="00425FFC"/>
    <w:rPr>
      <w:sz w:val="20"/>
      <w:szCs w:val="20"/>
    </w:rPr>
  </w:style>
  <w:style w:type="paragraph" w:styleId="CommentSubject">
    <w:name w:val="annotation subject"/>
    <w:basedOn w:val="CommentText"/>
    <w:next w:val="CommentText"/>
    <w:link w:val="CommentSubjectChar"/>
    <w:uiPriority w:val="99"/>
    <w:semiHidden/>
    <w:unhideWhenUsed/>
    <w:rsid w:val="00425FFC"/>
    <w:rPr>
      <w:b/>
      <w:bCs/>
    </w:rPr>
  </w:style>
  <w:style w:type="character" w:customStyle="1" w:styleId="CommentSubjectChar">
    <w:name w:val="Comment Subject Char"/>
    <w:basedOn w:val="CommentTextChar"/>
    <w:link w:val="CommentSubject"/>
    <w:uiPriority w:val="99"/>
    <w:semiHidden/>
    <w:rsid w:val="00425FFC"/>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5E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D37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3727"/>
    <w:rPr>
      <w:rFonts w:ascii="Tahoma" w:hAnsi="Tahoma" w:cs="Tahoma"/>
      <w:sz w:val="16"/>
      <w:szCs w:val="16"/>
    </w:rPr>
  </w:style>
  <w:style w:type="paragraph" w:styleId="Header">
    <w:name w:val="header"/>
    <w:basedOn w:val="Normal"/>
    <w:link w:val="HeaderChar"/>
    <w:uiPriority w:val="99"/>
    <w:unhideWhenUsed/>
    <w:rsid w:val="00966E49"/>
    <w:pPr>
      <w:tabs>
        <w:tab w:val="center" w:pos="4536"/>
        <w:tab w:val="right" w:pos="9072"/>
      </w:tabs>
      <w:spacing w:after="0" w:line="240" w:lineRule="auto"/>
    </w:pPr>
  </w:style>
  <w:style w:type="character" w:customStyle="1" w:styleId="HeaderChar">
    <w:name w:val="Header Char"/>
    <w:basedOn w:val="DefaultParagraphFont"/>
    <w:link w:val="Header"/>
    <w:uiPriority w:val="99"/>
    <w:rsid w:val="00966E49"/>
  </w:style>
  <w:style w:type="paragraph" w:styleId="Footer">
    <w:name w:val="footer"/>
    <w:basedOn w:val="Normal"/>
    <w:link w:val="FooterChar"/>
    <w:uiPriority w:val="99"/>
    <w:unhideWhenUsed/>
    <w:rsid w:val="00966E49"/>
    <w:pPr>
      <w:tabs>
        <w:tab w:val="center" w:pos="4536"/>
        <w:tab w:val="right" w:pos="9072"/>
      </w:tabs>
      <w:spacing w:after="0" w:line="240" w:lineRule="auto"/>
    </w:pPr>
  </w:style>
  <w:style w:type="character" w:customStyle="1" w:styleId="FooterChar">
    <w:name w:val="Footer Char"/>
    <w:basedOn w:val="DefaultParagraphFont"/>
    <w:link w:val="Footer"/>
    <w:uiPriority w:val="99"/>
    <w:rsid w:val="00966E49"/>
  </w:style>
  <w:style w:type="character" w:styleId="CommentReference">
    <w:name w:val="annotation reference"/>
    <w:basedOn w:val="DefaultParagraphFont"/>
    <w:uiPriority w:val="99"/>
    <w:semiHidden/>
    <w:unhideWhenUsed/>
    <w:rsid w:val="00425FFC"/>
    <w:rPr>
      <w:sz w:val="16"/>
      <w:szCs w:val="16"/>
    </w:rPr>
  </w:style>
  <w:style w:type="paragraph" w:styleId="CommentText">
    <w:name w:val="annotation text"/>
    <w:basedOn w:val="Normal"/>
    <w:link w:val="CommentTextChar"/>
    <w:uiPriority w:val="99"/>
    <w:semiHidden/>
    <w:unhideWhenUsed/>
    <w:rsid w:val="00425FFC"/>
    <w:pPr>
      <w:spacing w:line="240" w:lineRule="auto"/>
    </w:pPr>
    <w:rPr>
      <w:sz w:val="20"/>
      <w:szCs w:val="20"/>
    </w:rPr>
  </w:style>
  <w:style w:type="character" w:customStyle="1" w:styleId="CommentTextChar">
    <w:name w:val="Comment Text Char"/>
    <w:basedOn w:val="DefaultParagraphFont"/>
    <w:link w:val="CommentText"/>
    <w:uiPriority w:val="99"/>
    <w:semiHidden/>
    <w:rsid w:val="00425FFC"/>
    <w:rPr>
      <w:sz w:val="20"/>
      <w:szCs w:val="20"/>
    </w:rPr>
  </w:style>
  <w:style w:type="paragraph" w:styleId="CommentSubject">
    <w:name w:val="annotation subject"/>
    <w:basedOn w:val="CommentText"/>
    <w:next w:val="CommentText"/>
    <w:link w:val="CommentSubjectChar"/>
    <w:uiPriority w:val="99"/>
    <w:semiHidden/>
    <w:unhideWhenUsed/>
    <w:rsid w:val="00425FFC"/>
    <w:rPr>
      <w:b/>
      <w:bCs/>
    </w:rPr>
  </w:style>
  <w:style w:type="character" w:customStyle="1" w:styleId="CommentSubjectChar">
    <w:name w:val="Comment Subject Char"/>
    <w:basedOn w:val="CommentTextChar"/>
    <w:link w:val="CommentSubject"/>
    <w:uiPriority w:val="99"/>
    <w:semiHidden/>
    <w:rsid w:val="00425FF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0037E7-693F-4C42-A42B-0C91022A5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2380</Words>
  <Characters>13570</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pbaksaj</dc:creator>
  <cp:lastModifiedBy>pbaksaj</cp:lastModifiedBy>
  <cp:revision>2</cp:revision>
  <cp:lastPrinted>2017-12-05T16:01:00Z</cp:lastPrinted>
  <dcterms:created xsi:type="dcterms:W3CDTF">2017-12-08T13:58:00Z</dcterms:created>
  <dcterms:modified xsi:type="dcterms:W3CDTF">2017-12-08T13:58:00Z</dcterms:modified>
</cp:coreProperties>
</file>